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DB62A" w14:textId="7BE839AA" w:rsidR="00031567" w:rsidRPr="00DE00E5" w:rsidRDefault="00031567" w:rsidP="00814A08">
      <w:pPr>
        <w:spacing w:line="400" w:lineRule="exact"/>
        <w:rPr>
          <w:rFonts w:ascii="標楷體" w:eastAsia="標楷體" w:hAnsi="標楷體"/>
          <w:b/>
          <w:color w:val="000000" w:themeColor="text1"/>
          <w:sz w:val="32"/>
          <w:szCs w:val="32"/>
        </w:rPr>
      </w:pPr>
      <w:bookmarkStart w:id="0" w:name="_Hlk214898034"/>
      <w:r w:rsidRPr="00DE00E5">
        <w:rPr>
          <w:rFonts w:ascii="標楷體" w:eastAsia="標楷體" w:hAnsi="標楷體" w:hint="eastAsia"/>
          <w:b/>
          <w:color w:val="000000" w:themeColor="text1"/>
          <w:sz w:val="32"/>
          <w:szCs w:val="32"/>
        </w:rPr>
        <w:t>高雄醫學大學</w:t>
      </w:r>
      <w:bookmarkEnd w:id="0"/>
      <w:r w:rsidR="00A745E9" w:rsidRPr="00DE00E5">
        <w:rPr>
          <w:rFonts w:ascii="標楷體" w:eastAsia="標楷體" w:hAnsi="標楷體" w:hint="eastAsia"/>
          <w:b/>
          <w:color w:val="000000" w:themeColor="text1"/>
          <w:sz w:val="32"/>
          <w:szCs w:val="32"/>
        </w:rPr>
        <w:t>跨領域學士學位</w:t>
      </w:r>
      <w:r w:rsidRPr="00DE00E5">
        <w:rPr>
          <w:rFonts w:ascii="標楷體" w:eastAsia="標楷體" w:hAnsi="標楷體" w:hint="eastAsia"/>
          <w:b/>
          <w:color w:val="000000" w:themeColor="text1"/>
          <w:sz w:val="32"/>
          <w:szCs w:val="32"/>
        </w:rPr>
        <w:t>修業辦法</w:t>
      </w:r>
    </w:p>
    <w:p w14:paraId="531E6939" w14:textId="77777777" w:rsidR="00814A08" w:rsidRPr="00DE00E5" w:rsidRDefault="00814A08" w:rsidP="00814A08">
      <w:pPr>
        <w:spacing w:line="400" w:lineRule="exact"/>
        <w:rPr>
          <w:rFonts w:ascii="標楷體" w:eastAsia="標楷體" w:hAnsi="標楷體"/>
          <w:b/>
          <w:color w:val="000000" w:themeColor="text1"/>
          <w:sz w:val="32"/>
          <w:szCs w:val="32"/>
        </w:rPr>
      </w:pPr>
    </w:p>
    <w:p w14:paraId="39F2FBAA" w14:textId="77777777" w:rsidR="00595C15" w:rsidRPr="00E85077" w:rsidRDefault="00595C15" w:rsidP="00595C15">
      <w:pPr>
        <w:spacing w:line="0" w:lineRule="atLeast"/>
        <w:ind w:firstLineChars="2410" w:firstLine="4820"/>
        <w:jc w:val="both"/>
        <w:rPr>
          <w:rFonts w:ascii="Times New Roman" w:eastAsia="標楷體" w:hAnsi="Times New Roman" w:cs="Times New Roman"/>
          <w:color w:val="000000" w:themeColor="text1"/>
          <w:sz w:val="20"/>
          <w:szCs w:val="20"/>
        </w:rPr>
      </w:pPr>
      <w:r w:rsidRPr="006B4B05">
        <w:rPr>
          <w:rFonts w:ascii="Times New Roman" w:eastAsia="標楷體" w:hAnsi="Times New Roman" w:cs="Times New Roman"/>
          <w:color w:val="0D0D0D" w:themeColor="text1" w:themeTint="F2"/>
          <w:sz w:val="20"/>
          <w:szCs w:val="20"/>
        </w:rPr>
        <w:t>11</w:t>
      </w:r>
      <w:r>
        <w:rPr>
          <w:rFonts w:ascii="Times New Roman" w:eastAsia="標楷體" w:hAnsi="Times New Roman" w:cs="Times New Roman" w:hint="eastAsia"/>
          <w:color w:val="0D0D0D" w:themeColor="text1" w:themeTint="F2"/>
          <w:sz w:val="20"/>
          <w:szCs w:val="20"/>
        </w:rPr>
        <w:t>5</w:t>
      </w:r>
      <w:r w:rsidRPr="006B4B05">
        <w:rPr>
          <w:rFonts w:ascii="Times New Roman" w:eastAsia="標楷體" w:hAnsi="Times New Roman" w:cs="Times New Roman"/>
          <w:color w:val="0D0D0D" w:themeColor="text1" w:themeTint="F2"/>
          <w:sz w:val="20"/>
          <w:szCs w:val="20"/>
        </w:rPr>
        <w:t>.</w:t>
      </w:r>
      <w:r>
        <w:rPr>
          <w:rFonts w:ascii="Times New Roman" w:eastAsia="標楷體" w:hAnsi="Times New Roman" w:cs="Times New Roman" w:hint="eastAsia"/>
          <w:color w:val="0D0D0D" w:themeColor="text1" w:themeTint="F2"/>
          <w:sz w:val="20"/>
          <w:szCs w:val="20"/>
        </w:rPr>
        <w:t>01</w:t>
      </w:r>
      <w:r w:rsidRPr="006B4B05">
        <w:rPr>
          <w:rFonts w:ascii="Times New Roman" w:eastAsia="標楷體" w:hAnsi="Times New Roman" w:cs="Times New Roman"/>
          <w:color w:val="0D0D0D" w:themeColor="text1" w:themeTint="F2"/>
          <w:sz w:val="20"/>
          <w:szCs w:val="20"/>
        </w:rPr>
        <w:t>.</w:t>
      </w:r>
      <w:r>
        <w:rPr>
          <w:rFonts w:ascii="Times New Roman" w:eastAsia="標楷體" w:hAnsi="Times New Roman" w:cs="Times New Roman" w:hint="eastAsia"/>
          <w:color w:val="0D0D0D" w:themeColor="text1" w:themeTint="F2"/>
          <w:sz w:val="20"/>
          <w:szCs w:val="20"/>
        </w:rPr>
        <w:t>23</w:t>
      </w:r>
      <w:r w:rsidRPr="00E85077">
        <w:rPr>
          <w:rFonts w:ascii="Times New Roman" w:eastAsia="標楷體" w:hAnsi="Times New Roman" w:cs="Times New Roman"/>
          <w:color w:val="000000" w:themeColor="text1"/>
          <w:sz w:val="20"/>
          <w:szCs w:val="20"/>
        </w:rPr>
        <w:t xml:space="preserve"> 114</w:t>
      </w:r>
      <w:r w:rsidRPr="00E85077">
        <w:rPr>
          <w:rFonts w:ascii="Times New Roman" w:eastAsia="標楷體" w:hAnsi="Times New Roman" w:cs="Times New Roman"/>
          <w:color w:val="000000" w:themeColor="text1"/>
          <w:sz w:val="20"/>
          <w:szCs w:val="20"/>
        </w:rPr>
        <w:t>學年度第</w:t>
      </w:r>
      <w:r w:rsidRPr="00E85077">
        <w:rPr>
          <w:rFonts w:ascii="Times New Roman" w:eastAsia="標楷體" w:hAnsi="Times New Roman" w:cs="Times New Roman"/>
          <w:color w:val="000000" w:themeColor="text1"/>
          <w:sz w:val="20"/>
          <w:szCs w:val="20"/>
        </w:rPr>
        <w:t>4</w:t>
      </w:r>
      <w:r w:rsidRPr="00E85077">
        <w:rPr>
          <w:rFonts w:ascii="Times New Roman" w:eastAsia="標楷體" w:hAnsi="Times New Roman" w:cs="Times New Roman"/>
          <w:color w:val="000000" w:themeColor="text1"/>
          <w:sz w:val="20"/>
          <w:szCs w:val="20"/>
        </w:rPr>
        <w:t>次通識教育</w:t>
      </w:r>
      <w:proofErr w:type="gramStart"/>
      <w:r w:rsidRPr="00E85077">
        <w:rPr>
          <w:rFonts w:ascii="Times New Roman" w:eastAsia="標楷體" w:hAnsi="Times New Roman" w:cs="Times New Roman"/>
          <w:color w:val="000000" w:themeColor="text1"/>
          <w:sz w:val="20"/>
          <w:szCs w:val="20"/>
        </w:rPr>
        <w:t>中心中心</w:t>
      </w:r>
      <w:proofErr w:type="gramEnd"/>
      <w:r w:rsidRPr="00E85077">
        <w:rPr>
          <w:rFonts w:ascii="Times New Roman" w:eastAsia="標楷體" w:hAnsi="Times New Roman" w:cs="Times New Roman"/>
          <w:color w:val="000000" w:themeColor="text1"/>
          <w:sz w:val="20"/>
          <w:szCs w:val="20"/>
        </w:rPr>
        <w:t>會議通過</w:t>
      </w:r>
    </w:p>
    <w:p w14:paraId="39AD6C0C" w14:textId="62583F91" w:rsidR="00595C15" w:rsidRPr="00E85077" w:rsidRDefault="00595C15" w:rsidP="00595C15">
      <w:pPr>
        <w:spacing w:line="0" w:lineRule="atLeast"/>
        <w:ind w:firstLineChars="2410" w:firstLine="4820"/>
        <w:rPr>
          <w:rFonts w:ascii="Times New Roman" w:eastAsia="標楷體" w:hAnsi="Times New Roman" w:cs="Times New Roman"/>
          <w:color w:val="000000" w:themeColor="text1"/>
          <w:sz w:val="20"/>
          <w:szCs w:val="20"/>
        </w:rPr>
      </w:pPr>
      <w:r w:rsidRPr="00E85077">
        <w:rPr>
          <w:rFonts w:ascii="Times New Roman" w:eastAsia="標楷體" w:hAnsi="Times New Roman" w:cs="Times New Roman"/>
          <w:color w:val="000000" w:themeColor="text1"/>
          <w:sz w:val="20"/>
          <w:szCs w:val="20"/>
        </w:rPr>
        <w:t>115.02.</w:t>
      </w:r>
      <w:r w:rsidR="00B50ED3" w:rsidRPr="00E85077">
        <w:rPr>
          <w:rFonts w:ascii="Times New Roman" w:eastAsia="標楷體" w:hAnsi="Times New Roman" w:cs="Times New Roman"/>
          <w:color w:val="000000" w:themeColor="text1"/>
          <w:sz w:val="20"/>
          <w:szCs w:val="20"/>
        </w:rPr>
        <w:t>04</w:t>
      </w:r>
      <w:r w:rsidRPr="00E85077">
        <w:rPr>
          <w:rFonts w:ascii="Times New Roman" w:eastAsia="標楷體" w:hAnsi="Times New Roman" w:cs="Times New Roman"/>
          <w:color w:val="000000" w:themeColor="text1"/>
          <w:sz w:val="20"/>
          <w:szCs w:val="20"/>
        </w:rPr>
        <w:t xml:space="preserve"> 114</w:t>
      </w:r>
      <w:r w:rsidRPr="00E85077">
        <w:rPr>
          <w:rFonts w:ascii="Times New Roman" w:eastAsia="標楷體" w:hAnsi="Times New Roman" w:cs="Times New Roman"/>
          <w:color w:val="000000" w:themeColor="text1"/>
          <w:sz w:val="20"/>
          <w:szCs w:val="20"/>
        </w:rPr>
        <w:t>學年度第</w:t>
      </w:r>
      <w:r w:rsidR="00B50ED3" w:rsidRPr="00E85077">
        <w:rPr>
          <w:rFonts w:ascii="Times New Roman" w:eastAsia="標楷體" w:hAnsi="Times New Roman" w:cs="Times New Roman"/>
          <w:color w:val="000000" w:themeColor="text1"/>
          <w:sz w:val="20"/>
          <w:szCs w:val="20"/>
        </w:rPr>
        <w:t>2</w:t>
      </w:r>
      <w:r w:rsidRPr="00E85077">
        <w:rPr>
          <w:rFonts w:ascii="Times New Roman" w:eastAsia="標楷體" w:hAnsi="Times New Roman" w:cs="Times New Roman"/>
          <w:color w:val="000000" w:themeColor="text1"/>
          <w:sz w:val="20"/>
          <w:szCs w:val="20"/>
        </w:rPr>
        <w:t>次教務會議通過</w:t>
      </w:r>
    </w:p>
    <w:p w14:paraId="772C7CB9" w14:textId="1C897817" w:rsidR="00612E00" w:rsidRPr="00E85077" w:rsidRDefault="00595C15" w:rsidP="00595C15">
      <w:pPr>
        <w:spacing w:line="0" w:lineRule="atLeast"/>
        <w:ind w:leftChars="295" w:left="708" w:firstLineChars="2055" w:firstLine="4110"/>
        <w:jc w:val="both"/>
        <w:rPr>
          <w:rFonts w:ascii="Times New Roman" w:eastAsia="標楷體" w:hAnsi="Times New Roman" w:cs="Times New Roman"/>
          <w:color w:val="000000" w:themeColor="text1"/>
          <w:sz w:val="20"/>
          <w:szCs w:val="20"/>
        </w:rPr>
      </w:pPr>
      <w:r w:rsidRPr="00E85077">
        <w:rPr>
          <w:rFonts w:ascii="Times New Roman" w:eastAsia="標楷體" w:hAnsi="Times New Roman" w:cs="Times New Roman"/>
          <w:color w:val="000000" w:themeColor="text1"/>
          <w:sz w:val="20"/>
          <w:szCs w:val="20"/>
        </w:rPr>
        <w:t>115.</w:t>
      </w:r>
      <w:r w:rsidR="00E85077" w:rsidRPr="00E85077">
        <w:rPr>
          <w:rFonts w:ascii="Times New Roman" w:eastAsia="標楷體" w:hAnsi="Times New Roman" w:cs="Times New Roman"/>
          <w:color w:val="000000" w:themeColor="text1"/>
          <w:sz w:val="20"/>
          <w:szCs w:val="20"/>
        </w:rPr>
        <w:t>02</w:t>
      </w:r>
      <w:r w:rsidRPr="00E85077">
        <w:rPr>
          <w:rFonts w:ascii="Times New Roman" w:eastAsia="標楷體" w:hAnsi="Times New Roman" w:cs="Times New Roman"/>
          <w:color w:val="000000" w:themeColor="text1"/>
          <w:sz w:val="20"/>
          <w:szCs w:val="20"/>
        </w:rPr>
        <w:t>.</w:t>
      </w:r>
      <w:r w:rsidR="00E85077" w:rsidRPr="00E85077">
        <w:rPr>
          <w:rFonts w:ascii="Times New Roman" w:eastAsia="標楷體" w:hAnsi="Times New Roman" w:cs="Times New Roman"/>
          <w:color w:val="000000" w:themeColor="text1"/>
          <w:sz w:val="20"/>
          <w:szCs w:val="20"/>
        </w:rPr>
        <w:t>24</w:t>
      </w:r>
      <w:r w:rsidRPr="00E85077">
        <w:rPr>
          <w:rFonts w:ascii="Times New Roman" w:eastAsia="標楷體" w:hAnsi="Times New Roman" w:cs="Times New Roman"/>
          <w:color w:val="000000" w:themeColor="text1"/>
          <w:sz w:val="20"/>
          <w:szCs w:val="20"/>
        </w:rPr>
        <w:t>高</w:t>
      </w:r>
      <w:proofErr w:type="gramStart"/>
      <w:r w:rsidRPr="00E85077">
        <w:rPr>
          <w:rFonts w:ascii="Times New Roman" w:eastAsia="標楷體" w:hAnsi="Times New Roman" w:cs="Times New Roman"/>
          <w:color w:val="000000" w:themeColor="text1"/>
          <w:sz w:val="20"/>
          <w:szCs w:val="20"/>
        </w:rPr>
        <w:t>醫心通字</w:t>
      </w:r>
      <w:proofErr w:type="gramEnd"/>
      <w:r w:rsidRPr="00E85077">
        <w:rPr>
          <w:rFonts w:ascii="Times New Roman" w:eastAsia="標楷體" w:hAnsi="Times New Roman" w:cs="Times New Roman"/>
          <w:color w:val="000000" w:themeColor="text1"/>
          <w:sz w:val="20"/>
          <w:szCs w:val="20"/>
        </w:rPr>
        <w:t>第</w:t>
      </w:r>
      <w:r w:rsidR="00E85077" w:rsidRPr="00E85077">
        <w:rPr>
          <w:rFonts w:ascii="Times New Roman" w:eastAsia="標楷體" w:hAnsi="Times New Roman" w:cs="Times New Roman"/>
          <w:color w:val="000000" w:themeColor="text1"/>
          <w:sz w:val="20"/>
          <w:szCs w:val="20"/>
        </w:rPr>
        <w:t>1151100576</w:t>
      </w:r>
      <w:r w:rsidRPr="00E85077">
        <w:rPr>
          <w:rFonts w:ascii="Times New Roman" w:eastAsia="標楷體" w:hAnsi="Times New Roman" w:cs="Times New Roman"/>
          <w:color w:val="000000" w:themeColor="text1"/>
          <w:sz w:val="20"/>
          <w:szCs w:val="20"/>
        </w:rPr>
        <w:t>號函公布</w:t>
      </w:r>
    </w:p>
    <w:p w14:paraId="4174B724" w14:textId="77777777" w:rsidR="004C3E30" w:rsidRPr="00DE00E5" w:rsidRDefault="004C3E30" w:rsidP="00814A08">
      <w:pPr>
        <w:spacing w:line="0" w:lineRule="atLeast"/>
        <w:ind w:leftChars="295" w:left="708" w:firstLineChars="2055" w:firstLine="4110"/>
        <w:jc w:val="both"/>
        <w:rPr>
          <w:rFonts w:ascii="Times New Roman" w:eastAsia="標楷體" w:hAnsi="Times New Roman" w:cs="Times New Roman"/>
          <w:color w:val="000000" w:themeColor="text1"/>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499"/>
      </w:tblGrid>
      <w:tr w:rsidR="00DE00E5" w:rsidRPr="00DE00E5" w14:paraId="648D241B" w14:textId="77777777" w:rsidTr="00E85077">
        <w:tc>
          <w:tcPr>
            <w:tcW w:w="1129" w:type="dxa"/>
          </w:tcPr>
          <w:p w14:paraId="3EB4C56A" w14:textId="796FDB77" w:rsidR="004C3E30" w:rsidRPr="00DE00E5" w:rsidRDefault="004C3E30" w:rsidP="004C3E30">
            <w:pPr>
              <w:jc w:val="both"/>
              <w:rPr>
                <w:rFonts w:ascii="Times New Roman" w:eastAsia="標楷體" w:hAnsi="Times New Roman" w:cs="Times New Roman"/>
                <w:color w:val="000000" w:themeColor="text1"/>
                <w:sz w:val="20"/>
                <w:szCs w:val="20"/>
              </w:rPr>
            </w:pPr>
            <w:r w:rsidRPr="00DE00E5">
              <w:rPr>
                <w:rFonts w:ascii="Times New Roman" w:eastAsia="標楷體" w:hAnsi="Times New Roman" w:cs="Times New Roman"/>
                <w:color w:val="000000" w:themeColor="text1"/>
                <w:szCs w:val="24"/>
              </w:rPr>
              <w:t>第</w:t>
            </w:r>
            <w:r w:rsidRPr="00DE00E5">
              <w:rPr>
                <w:rFonts w:ascii="Times New Roman" w:eastAsia="標楷體" w:hAnsi="Times New Roman" w:cs="Times New Roman"/>
                <w:color w:val="000000" w:themeColor="text1"/>
                <w:szCs w:val="24"/>
              </w:rPr>
              <w:t>1</w:t>
            </w:r>
            <w:r w:rsidRPr="00DE00E5">
              <w:rPr>
                <w:rFonts w:ascii="Times New Roman" w:eastAsia="標楷體" w:hAnsi="Times New Roman" w:cs="Times New Roman"/>
                <w:color w:val="000000" w:themeColor="text1"/>
                <w:szCs w:val="24"/>
              </w:rPr>
              <w:t>條</w:t>
            </w:r>
          </w:p>
        </w:tc>
        <w:tc>
          <w:tcPr>
            <w:tcW w:w="8499" w:type="dxa"/>
          </w:tcPr>
          <w:p w14:paraId="38064B8D" w14:textId="0DFC610B" w:rsidR="004C3E30" w:rsidRPr="00DE00E5" w:rsidRDefault="00970502" w:rsidP="004C3E30">
            <w:pPr>
              <w:jc w:val="both"/>
              <w:rPr>
                <w:rFonts w:ascii="Times New Roman" w:eastAsia="標楷體" w:hAnsi="Times New Roman" w:cs="Times New Roman"/>
                <w:color w:val="000000" w:themeColor="text1"/>
                <w:sz w:val="20"/>
                <w:szCs w:val="20"/>
              </w:rPr>
            </w:pPr>
            <w:r w:rsidRPr="00DE00E5">
              <w:rPr>
                <w:rFonts w:ascii="Times New Roman" w:eastAsia="標楷體" w:hAnsi="Times New Roman" w:cs="Times New Roman"/>
                <w:color w:val="000000" w:themeColor="text1"/>
                <w:kern w:val="0"/>
                <w:szCs w:val="24"/>
              </w:rPr>
              <w:t>高雄醫學大學（以下簡稱</w:t>
            </w:r>
            <w:r w:rsidRPr="00DE00E5">
              <w:rPr>
                <w:rFonts w:ascii="Times New Roman" w:eastAsia="標楷體" w:hAnsi="Times New Roman" w:cs="Times New Roman" w:hint="eastAsia"/>
                <w:color w:val="000000" w:themeColor="text1"/>
                <w:kern w:val="0"/>
                <w:szCs w:val="24"/>
              </w:rPr>
              <w:t>本校</w:t>
            </w:r>
            <w:r w:rsidRPr="00DE00E5">
              <w:rPr>
                <w:rFonts w:ascii="Times New Roman" w:eastAsia="標楷體" w:hAnsi="Times New Roman" w:cs="Times New Roman"/>
                <w:color w:val="000000" w:themeColor="text1"/>
                <w:kern w:val="0"/>
                <w:szCs w:val="24"/>
              </w:rPr>
              <w:t>）</w:t>
            </w:r>
            <w:r w:rsidR="004C3E30" w:rsidRPr="00DE00E5">
              <w:rPr>
                <w:rFonts w:ascii="Times New Roman" w:eastAsia="標楷體" w:hAnsi="Times New Roman" w:cs="Times New Roman"/>
                <w:color w:val="000000" w:themeColor="text1"/>
                <w:szCs w:val="24"/>
              </w:rPr>
              <w:t>為協助學士班學生適性發展，培育具創造力</w:t>
            </w:r>
            <w:proofErr w:type="gramStart"/>
            <w:r w:rsidR="004C3E30" w:rsidRPr="00DE00E5">
              <w:rPr>
                <w:rFonts w:ascii="Times New Roman" w:eastAsia="標楷體" w:hAnsi="Times New Roman" w:cs="Times New Roman"/>
                <w:color w:val="000000" w:themeColor="text1"/>
                <w:szCs w:val="24"/>
              </w:rPr>
              <w:t>之跨域人才</w:t>
            </w:r>
            <w:proofErr w:type="gramEnd"/>
            <w:r w:rsidR="004C3E30" w:rsidRPr="00DE00E5">
              <w:rPr>
                <w:rFonts w:ascii="Times New Roman" w:eastAsia="標楷體" w:hAnsi="Times New Roman" w:cs="Times New Roman"/>
                <w:color w:val="000000" w:themeColor="text1"/>
                <w:szCs w:val="24"/>
              </w:rPr>
              <w:t>，依「高雄醫學大學跨領域學士學位設置準則</w:t>
            </w:r>
            <w:r w:rsidR="006226C9" w:rsidRPr="00DE00E5">
              <w:rPr>
                <w:rFonts w:ascii="Times New Roman" w:eastAsia="標楷體" w:hAnsi="Times New Roman" w:cs="Times New Roman"/>
                <w:color w:val="000000" w:themeColor="text1"/>
                <w:kern w:val="0"/>
                <w:szCs w:val="24"/>
              </w:rPr>
              <w:t>（以下簡稱準則）</w:t>
            </w:r>
            <w:r w:rsidR="004C3E30" w:rsidRPr="00DE00E5">
              <w:rPr>
                <w:rFonts w:ascii="Times New Roman" w:eastAsia="標楷體" w:hAnsi="Times New Roman" w:cs="Times New Roman"/>
                <w:color w:val="000000" w:themeColor="text1"/>
                <w:szCs w:val="24"/>
              </w:rPr>
              <w:t>」第</w:t>
            </w:r>
            <w:r w:rsidR="00E7032C" w:rsidRPr="00DE00E5">
              <w:rPr>
                <w:rFonts w:ascii="Times New Roman" w:eastAsia="標楷體" w:hAnsi="Times New Roman" w:cs="Times New Roman" w:hint="eastAsia"/>
                <w:color w:val="000000" w:themeColor="text1"/>
                <w:szCs w:val="24"/>
              </w:rPr>
              <w:t>三</w:t>
            </w:r>
            <w:r w:rsidR="004C3E30" w:rsidRPr="00DE00E5">
              <w:rPr>
                <w:rFonts w:ascii="Times New Roman" w:eastAsia="標楷體" w:hAnsi="Times New Roman" w:cs="Times New Roman"/>
                <w:color w:val="000000" w:themeColor="text1"/>
                <w:szCs w:val="24"/>
              </w:rPr>
              <w:t>條規定，訂定本辦法。</w:t>
            </w:r>
          </w:p>
        </w:tc>
      </w:tr>
      <w:tr w:rsidR="00DE00E5" w:rsidRPr="00DE00E5" w14:paraId="77241280" w14:textId="77777777" w:rsidTr="00E85077">
        <w:tc>
          <w:tcPr>
            <w:tcW w:w="1129" w:type="dxa"/>
          </w:tcPr>
          <w:p w14:paraId="15AF0F61" w14:textId="55F5E97C" w:rsidR="004C3E30" w:rsidRPr="00DE00E5" w:rsidRDefault="004C3E30" w:rsidP="004C3E30">
            <w:pPr>
              <w:jc w:val="both"/>
              <w:rPr>
                <w:rFonts w:ascii="Times New Roman" w:eastAsia="標楷體" w:hAnsi="Times New Roman" w:cs="Times New Roman"/>
                <w:color w:val="000000" w:themeColor="text1"/>
                <w:sz w:val="20"/>
                <w:szCs w:val="20"/>
              </w:rPr>
            </w:pPr>
            <w:r w:rsidRPr="00DE00E5">
              <w:rPr>
                <w:rFonts w:ascii="Times New Roman" w:eastAsia="標楷體" w:hAnsi="Times New Roman" w:cs="Times New Roman"/>
                <w:color w:val="000000" w:themeColor="text1"/>
                <w:szCs w:val="24"/>
              </w:rPr>
              <w:t>第</w:t>
            </w:r>
            <w:r w:rsidRPr="00DE00E5">
              <w:rPr>
                <w:rFonts w:ascii="Times New Roman" w:eastAsia="標楷體" w:hAnsi="Times New Roman" w:cs="Times New Roman"/>
                <w:color w:val="000000" w:themeColor="text1"/>
                <w:szCs w:val="24"/>
              </w:rPr>
              <w:t>2</w:t>
            </w:r>
            <w:r w:rsidRPr="00DE00E5">
              <w:rPr>
                <w:rFonts w:ascii="Times New Roman" w:eastAsia="標楷體" w:hAnsi="Times New Roman" w:cs="Times New Roman"/>
                <w:color w:val="000000" w:themeColor="text1"/>
                <w:szCs w:val="24"/>
              </w:rPr>
              <w:t>條</w:t>
            </w:r>
          </w:p>
        </w:tc>
        <w:tc>
          <w:tcPr>
            <w:tcW w:w="8499" w:type="dxa"/>
          </w:tcPr>
          <w:p w14:paraId="77EDC178" w14:textId="2CA6210E" w:rsidR="004C3E30" w:rsidRPr="00DE00E5" w:rsidRDefault="004C3E30" w:rsidP="004C3E30">
            <w:pPr>
              <w:jc w:val="both"/>
              <w:rPr>
                <w:rFonts w:ascii="Times New Roman" w:eastAsia="標楷體" w:hAnsi="Times New Roman" w:cs="Times New Roman"/>
                <w:color w:val="000000" w:themeColor="text1"/>
                <w:sz w:val="20"/>
                <w:szCs w:val="20"/>
              </w:rPr>
            </w:pPr>
            <w:r w:rsidRPr="00DE00E5">
              <w:rPr>
                <w:rFonts w:ascii="Times New Roman" w:eastAsia="標楷體" w:hAnsi="Times New Roman" w:cs="Times New Roman"/>
                <w:color w:val="000000" w:themeColor="text1"/>
                <w:szCs w:val="24"/>
              </w:rPr>
              <w:t>本校學士班學生至遲於修業年限最後一年第一學期開始前（不含延長修業年限），得依本校</w:t>
            </w:r>
            <w:r w:rsidR="006226C9" w:rsidRPr="00DE00E5">
              <w:rPr>
                <w:rFonts w:ascii="Times New Roman" w:eastAsia="標楷體" w:hAnsi="Times New Roman" w:cs="Times New Roman"/>
                <w:color w:val="000000" w:themeColor="text1"/>
                <w:szCs w:val="24"/>
              </w:rPr>
              <w:t>公告之申請期限提出申請，每位學生以核准一跨領域學士學位為限</w:t>
            </w:r>
            <w:r w:rsidRPr="00DE00E5">
              <w:rPr>
                <w:rFonts w:ascii="Times New Roman" w:eastAsia="標楷體" w:hAnsi="Times New Roman" w:cs="Times New Roman"/>
                <w:color w:val="000000" w:themeColor="text1"/>
                <w:szCs w:val="24"/>
              </w:rPr>
              <w:t>。</w:t>
            </w:r>
          </w:p>
        </w:tc>
      </w:tr>
      <w:tr w:rsidR="00DE00E5" w:rsidRPr="00DE00E5" w14:paraId="00B34179" w14:textId="77777777" w:rsidTr="00E85077">
        <w:tc>
          <w:tcPr>
            <w:tcW w:w="1129" w:type="dxa"/>
          </w:tcPr>
          <w:p w14:paraId="4F12B058" w14:textId="51A4928D" w:rsidR="004C3E30" w:rsidRPr="00DE00E5" w:rsidRDefault="004C3E30" w:rsidP="004C3E30">
            <w:pPr>
              <w:jc w:val="both"/>
              <w:rPr>
                <w:rFonts w:ascii="Times New Roman" w:eastAsia="標楷體" w:hAnsi="Times New Roman" w:cs="Times New Roman"/>
                <w:color w:val="000000" w:themeColor="text1"/>
                <w:sz w:val="20"/>
                <w:szCs w:val="20"/>
              </w:rPr>
            </w:pPr>
            <w:r w:rsidRPr="00DE00E5">
              <w:rPr>
                <w:rFonts w:ascii="Times New Roman" w:eastAsia="標楷體" w:hAnsi="Times New Roman" w:cs="Times New Roman"/>
                <w:color w:val="000000" w:themeColor="text1"/>
                <w:szCs w:val="24"/>
              </w:rPr>
              <w:t>第</w:t>
            </w:r>
            <w:r w:rsidR="006944BA" w:rsidRPr="00DE00E5">
              <w:rPr>
                <w:rFonts w:ascii="Times New Roman" w:eastAsia="標楷體" w:hAnsi="Times New Roman" w:cs="Times New Roman" w:hint="eastAsia"/>
                <w:color w:val="000000" w:themeColor="text1"/>
                <w:szCs w:val="24"/>
              </w:rPr>
              <w:t>3</w:t>
            </w:r>
            <w:r w:rsidRPr="00DE00E5">
              <w:rPr>
                <w:rFonts w:ascii="Times New Roman" w:eastAsia="標楷體" w:hAnsi="Times New Roman" w:cs="Times New Roman"/>
                <w:color w:val="000000" w:themeColor="text1"/>
                <w:szCs w:val="24"/>
              </w:rPr>
              <w:t>條</w:t>
            </w:r>
          </w:p>
        </w:tc>
        <w:tc>
          <w:tcPr>
            <w:tcW w:w="8499" w:type="dxa"/>
          </w:tcPr>
          <w:p w14:paraId="29D69CCE" w14:textId="56E8B35E" w:rsidR="004C3E30" w:rsidRPr="00DE00E5" w:rsidRDefault="004C3E30" w:rsidP="004C3E30">
            <w:pPr>
              <w:jc w:val="both"/>
              <w:rPr>
                <w:rFonts w:ascii="Times New Roman" w:eastAsia="標楷體" w:hAnsi="Times New Roman" w:cs="Times New Roman"/>
                <w:color w:val="000000" w:themeColor="text1"/>
                <w:szCs w:val="24"/>
              </w:rPr>
            </w:pPr>
            <w:r w:rsidRPr="00DE00E5">
              <w:rPr>
                <w:rFonts w:ascii="Times New Roman" w:eastAsia="標楷體" w:hAnsi="Times New Roman" w:cs="Times New Roman"/>
                <w:color w:val="000000" w:themeColor="text1"/>
                <w:szCs w:val="24"/>
              </w:rPr>
              <w:t>申請</w:t>
            </w:r>
            <w:proofErr w:type="gramStart"/>
            <w:r w:rsidRPr="00DE00E5">
              <w:rPr>
                <w:rFonts w:ascii="Times New Roman" w:eastAsia="標楷體" w:hAnsi="Times New Roman" w:cs="Times New Roman"/>
                <w:color w:val="000000" w:themeColor="text1"/>
                <w:szCs w:val="24"/>
              </w:rPr>
              <w:t>修讀跨領域</w:t>
            </w:r>
            <w:proofErr w:type="gramEnd"/>
            <w:r w:rsidRPr="00DE00E5">
              <w:rPr>
                <w:rFonts w:ascii="Times New Roman" w:eastAsia="標楷體" w:hAnsi="Times New Roman" w:cs="Times New Roman"/>
                <w:color w:val="000000" w:themeColor="text1"/>
                <w:szCs w:val="24"/>
              </w:rPr>
              <w:t>學士學位之學生，應依第五條規定修習課程後，提具計畫書，經與跨領域學士輔導小組會談後</w:t>
            </w:r>
            <w:r w:rsidRPr="00DE00E5">
              <w:rPr>
                <w:rFonts w:ascii="Times New Roman" w:eastAsia="新細明體" w:hAnsi="Times New Roman" w:cs="Times New Roman"/>
                <w:color w:val="000000" w:themeColor="text1"/>
                <w:szCs w:val="24"/>
              </w:rPr>
              <w:t>，</w:t>
            </w:r>
            <w:proofErr w:type="gramStart"/>
            <w:r w:rsidRPr="00DE00E5">
              <w:rPr>
                <w:rFonts w:ascii="Times New Roman" w:eastAsia="標楷體" w:hAnsi="Times New Roman" w:cs="Times New Roman"/>
                <w:color w:val="000000" w:themeColor="text1"/>
                <w:szCs w:val="24"/>
              </w:rPr>
              <w:t>送通識</w:t>
            </w:r>
            <w:proofErr w:type="gramEnd"/>
            <w:r w:rsidRPr="00DE00E5">
              <w:rPr>
                <w:rFonts w:ascii="Times New Roman" w:eastAsia="標楷體" w:hAnsi="Times New Roman" w:cs="Times New Roman"/>
                <w:color w:val="000000" w:themeColor="text1"/>
                <w:szCs w:val="24"/>
              </w:rPr>
              <w:t>教育中心（以下簡稱通識中心），由通識</w:t>
            </w:r>
            <w:proofErr w:type="gramStart"/>
            <w:r w:rsidRPr="00DE00E5">
              <w:rPr>
                <w:rFonts w:ascii="Times New Roman" w:eastAsia="標楷體" w:hAnsi="Times New Roman" w:cs="Times New Roman"/>
                <w:color w:val="000000" w:themeColor="text1"/>
                <w:szCs w:val="24"/>
              </w:rPr>
              <w:t>中心提跨領域</w:t>
            </w:r>
            <w:proofErr w:type="gramEnd"/>
            <w:r w:rsidRPr="00DE00E5">
              <w:rPr>
                <w:rFonts w:ascii="Times New Roman" w:eastAsia="標楷體" w:hAnsi="Times New Roman" w:cs="Times New Roman"/>
                <w:color w:val="000000" w:themeColor="text1"/>
                <w:szCs w:val="24"/>
              </w:rPr>
              <w:t>學士學位審查小組</w:t>
            </w:r>
            <w:r w:rsidR="006226C9" w:rsidRPr="00DE00E5">
              <w:rPr>
                <w:rFonts w:ascii="Times New Roman" w:eastAsia="標楷體" w:hAnsi="Times New Roman" w:cs="Times New Roman"/>
                <w:color w:val="000000" w:themeColor="text1"/>
                <w:szCs w:val="24"/>
              </w:rPr>
              <w:t>（以下簡</w:t>
            </w:r>
            <w:r w:rsidR="00E174F0" w:rsidRPr="00DE00E5">
              <w:rPr>
                <w:rFonts w:ascii="Times New Roman" w:eastAsia="標楷體" w:hAnsi="Times New Roman" w:cs="Times New Roman" w:hint="eastAsia"/>
                <w:color w:val="000000" w:themeColor="text1"/>
                <w:szCs w:val="24"/>
              </w:rPr>
              <w:t>稱</w:t>
            </w:r>
            <w:r w:rsidR="006226C9" w:rsidRPr="00DE00E5">
              <w:rPr>
                <w:rFonts w:ascii="Times New Roman" w:eastAsia="標楷體" w:hAnsi="Times New Roman" w:cs="Times New Roman"/>
                <w:color w:val="000000" w:themeColor="text1"/>
                <w:szCs w:val="24"/>
              </w:rPr>
              <w:t>審查小組）</w:t>
            </w:r>
            <w:r w:rsidRPr="00DE00E5">
              <w:rPr>
                <w:rFonts w:ascii="Times New Roman" w:eastAsia="標楷體" w:hAnsi="Times New Roman" w:cs="Times New Roman"/>
                <w:color w:val="000000" w:themeColor="text1"/>
                <w:szCs w:val="24"/>
              </w:rPr>
              <w:t>審查；審查結果通知申請學生及</w:t>
            </w:r>
            <w:r w:rsidR="00637658" w:rsidRPr="00DE00E5">
              <w:rPr>
                <w:rFonts w:ascii="Times New Roman" w:eastAsia="標楷體" w:hAnsi="Times New Roman" w:cs="Times New Roman" w:hint="eastAsia"/>
                <w:color w:val="000000" w:themeColor="text1"/>
                <w:szCs w:val="24"/>
              </w:rPr>
              <w:t>原</w:t>
            </w:r>
            <w:r w:rsidRPr="00DE00E5">
              <w:rPr>
                <w:rFonts w:ascii="Times New Roman" w:eastAsia="標楷體" w:hAnsi="Times New Roman" w:cs="Times New Roman"/>
                <w:color w:val="000000" w:themeColor="text1"/>
                <w:szCs w:val="24"/>
              </w:rPr>
              <w:t>學系，並副知教務處。</w:t>
            </w:r>
          </w:p>
          <w:p w14:paraId="1B03ED4C" w14:textId="247C05C3" w:rsidR="004C3E30" w:rsidRPr="00DE00E5" w:rsidRDefault="004C3E30" w:rsidP="004C3E30">
            <w:pPr>
              <w:jc w:val="both"/>
              <w:rPr>
                <w:rFonts w:ascii="Times New Roman" w:eastAsia="標楷體" w:hAnsi="Times New Roman" w:cs="Times New Roman"/>
                <w:color w:val="000000" w:themeColor="text1"/>
                <w:sz w:val="20"/>
                <w:szCs w:val="20"/>
              </w:rPr>
            </w:pPr>
            <w:r w:rsidRPr="00DE00E5">
              <w:rPr>
                <w:rFonts w:ascii="Times New Roman" w:eastAsia="標楷體" w:hAnsi="Times New Roman" w:cs="Times New Roman"/>
                <w:color w:val="000000" w:themeColor="text1"/>
                <w:szCs w:val="24"/>
              </w:rPr>
              <w:t>前項審查小組，由通識</w:t>
            </w:r>
            <w:proofErr w:type="gramStart"/>
            <w:r w:rsidRPr="00DE00E5">
              <w:rPr>
                <w:rFonts w:ascii="Times New Roman" w:eastAsia="標楷體" w:hAnsi="Times New Roman" w:cs="Times New Roman"/>
                <w:color w:val="000000" w:themeColor="text1"/>
                <w:szCs w:val="24"/>
              </w:rPr>
              <w:t>中心中心</w:t>
            </w:r>
            <w:proofErr w:type="gramEnd"/>
            <w:r w:rsidRPr="00DE00E5">
              <w:rPr>
                <w:rFonts w:ascii="Times New Roman" w:eastAsia="標楷體" w:hAnsi="Times New Roman" w:cs="Times New Roman"/>
                <w:color w:val="000000" w:themeColor="text1"/>
                <w:szCs w:val="24"/>
              </w:rPr>
              <w:t>主任召集本校至少五位相關領域專任教師組成，其中通識中心主任為當然委員兼召集人。審查小組之審查及運作方式另訂之。</w:t>
            </w:r>
          </w:p>
        </w:tc>
      </w:tr>
      <w:tr w:rsidR="00DE00E5" w:rsidRPr="00DE00E5" w14:paraId="7E8916AF" w14:textId="77777777" w:rsidTr="00E85077">
        <w:tc>
          <w:tcPr>
            <w:tcW w:w="1129" w:type="dxa"/>
          </w:tcPr>
          <w:p w14:paraId="77E36FA8" w14:textId="0D925B7B" w:rsidR="004C3E30" w:rsidRPr="00DE00E5" w:rsidRDefault="004C3E30" w:rsidP="004C3E30">
            <w:pPr>
              <w:jc w:val="both"/>
              <w:rPr>
                <w:rFonts w:ascii="Times New Roman" w:eastAsia="標楷體" w:hAnsi="Times New Roman" w:cs="Times New Roman"/>
                <w:color w:val="000000" w:themeColor="text1"/>
                <w:sz w:val="20"/>
                <w:szCs w:val="20"/>
              </w:rPr>
            </w:pPr>
            <w:r w:rsidRPr="00DE00E5">
              <w:rPr>
                <w:rFonts w:ascii="Times New Roman" w:eastAsia="標楷體" w:hAnsi="Times New Roman" w:cs="Times New Roman"/>
                <w:color w:val="000000" w:themeColor="text1"/>
                <w:szCs w:val="24"/>
              </w:rPr>
              <w:t>第</w:t>
            </w:r>
            <w:r w:rsidR="006944BA" w:rsidRPr="00DE00E5">
              <w:rPr>
                <w:rFonts w:ascii="Times New Roman" w:eastAsia="標楷體" w:hAnsi="Times New Roman" w:cs="Times New Roman" w:hint="eastAsia"/>
                <w:color w:val="000000" w:themeColor="text1"/>
                <w:szCs w:val="24"/>
              </w:rPr>
              <w:t>4</w:t>
            </w:r>
            <w:r w:rsidRPr="00DE00E5">
              <w:rPr>
                <w:rFonts w:ascii="Times New Roman" w:eastAsia="標楷體" w:hAnsi="Times New Roman" w:cs="Times New Roman"/>
                <w:color w:val="000000" w:themeColor="text1"/>
                <w:szCs w:val="24"/>
              </w:rPr>
              <w:t>條</w:t>
            </w:r>
          </w:p>
        </w:tc>
        <w:tc>
          <w:tcPr>
            <w:tcW w:w="8499" w:type="dxa"/>
          </w:tcPr>
          <w:p w14:paraId="1FE4C611" w14:textId="77777777" w:rsidR="0022766C" w:rsidRPr="00DE00E5" w:rsidRDefault="004C3E30" w:rsidP="004C3E30">
            <w:pPr>
              <w:jc w:val="both"/>
              <w:rPr>
                <w:rFonts w:ascii="Times New Roman" w:eastAsia="標楷體" w:hAnsi="Times New Roman" w:cs="Times New Roman"/>
                <w:color w:val="000000" w:themeColor="text1"/>
                <w:szCs w:val="24"/>
              </w:rPr>
            </w:pPr>
            <w:r w:rsidRPr="00DE00E5">
              <w:rPr>
                <w:rFonts w:ascii="Times New Roman" w:eastAsia="標楷體" w:hAnsi="Times New Roman" w:cs="Times New Roman"/>
                <w:color w:val="000000" w:themeColor="text1"/>
                <w:szCs w:val="24"/>
              </w:rPr>
              <w:t>申請學生應修畢非</w:t>
            </w:r>
            <w:r w:rsidR="00637658" w:rsidRPr="00DE00E5">
              <w:rPr>
                <w:rFonts w:ascii="Times New Roman" w:eastAsia="標楷體" w:hAnsi="Times New Roman" w:cs="Times New Roman" w:hint="eastAsia"/>
                <w:color w:val="000000" w:themeColor="text1"/>
                <w:szCs w:val="24"/>
              </w:rPr>
              <w:t>原</w:t>
            </w:r>
            <w:r w:rsidRPr="00DE00E5">
              <w:rPr>
                <w:rFonts w:ascii="Times New Roman" w:eastAsia="標楷體" w:hAnsi="Times New Roman" w:cs="Times New Roman"/>
                <w:color w:val="000000" w:themeColor="text1"/>
                <w:szCs w:val="24"/>
              </w:rPr>
              <w:t>學系領域專長模組或學分學程課程至少二學分後</w:t>
            </w:r>
            <w:r w:rsidRPr="00DE00E5">
              <w:rPr>
                <w:rFonts w:ascii="Times New Roman" w:eastAsia="新細明體" w:hAnsi="Times New Roman" w:cs="Times New Roman"/>
                <w:color w:val="000000" w:themeColor="text1"/>
                <w:szCs w:val="24"/>
              </w:rPr>
              <w:t>，</w:t>
            </w:r>
            <w:r w:rsidRPr="00DE00E5">
              <w:rPr>
                <w:rFonts w:ascii="Times New Roman" w:eastAsia="標楷體" w:hAnsi="Times New Roman" w:cs="Times New Roman"/>
                <w:color w:val="000000" w:themeColor="text1"/>
                <w:szCs w:val="24"/>
              </w:rPr>
              <w:t>再提具計畫書。</w:t>
            </w:r>
          </w:p>
          <w:p w14:paraId="70C973BB" w14:textId="5197B3DD" w:rsidR="004C3E30" w:rsidRPr="00DE00E5" w:rsidRDefault="0022766C" w:rsidP="004C3E30">
            <w:pPr>
              <w:jc w:val="both"/>
              <w:rPr>
                <w:rFonts w:ascii="Times New Roman" w:eastAsia="標楷體" w:hAnsi="Times New Roman" w:cs="Times New Roman"/>
                <w:color w:val="000000" w:themeColor="text1"/>
                <w:szCs w:val="24"/>
              </w:rPr>
            </w:pPr>
            <w:r w:rsidRPr="00DE00E5">
              <w:rPr>
                <w:rFonts w:ascii="Times New Roman" w:eastAsia="標楷體" w:hAnsi="Times New Roman" w:cs="Times New Roman" w:hint="eastAsia"/>
                <w:color w:val="000000" w:themeColor="text1"/>
                <w:szCs w:val="24"/>
              </w:rPr>
              <w:t>前項</w:t>
            </w:r>
            <w:r w:rsidR="004C3E30" w:rsidRPr="00DE00E5">
              <w:rPr>
                <w:rFonts w:ascii="Times New Roman" w:eastAsia="標楷體" w:hAnsi="Times New Roman" w:cs="Times New Roman"/>
                <w:color w:val="000000" w:themeColor="text1"/>
                <w:szCs w:val="24"/>
              </w:rPr>
              <w:t>計畫書應載明下列事項</w:t>
            </w:r>
            <w:r w:rsidR="004C3E30" w:rsidRPr="008031C3">
              <w:rPr>
                <w:rFonts w:ascii="Times New Roman" w:eastAsia="標楷體" w:hAnsi="Times New Roman" w:cs="Times New Roman"/>
                <w:color w:val="000000" w:themeColor="text1"/>
                <w:szCs w:val="24"/>
              </w:rPr>
              <w:t>：</w:t>
            </w:r>
          </w:p>
          <w:p w14:paraId="7B69D30D" w14:textId="36A37834" w:rsidR="004C3E30" w:rsidRPr="00DE00E5" w:rsidRDefault="004C3E30" w:rsidP="004C3E30">
            <w:pPr>
              <w:ind w:left="840" w:hangingChars="350" w:hanging="840"/>
              <w:jc w:val="both"/>
              <w:rPr>
                <w:rFonts w:ascii="Times New Roman" w:eastAsia="標楷體" w:hAnsi="Times New Roman" w:cs="Times New Roman"/>
                <w:color w:val="000000" w:themeColor="text1"/>
                <w:szCs w:val="24"/>
              </w:rPr>
            </w:pPr>
            <w:r w:rsidRPr="00DE00E5">
              <w:rPr>
                <w:rFonts w:ascii="Times New Roman" w:eastAsia="標楷體" w:hAnsi="Times New Roman" w:cs="Times New Roman"/>
                <w:color w:val="000000" w:themeColor="text1"/>
                <w:szCs w:val="24"/>
              </w:rPr>
              <w:t>一、學習目標。</w:t>
            </w:r>
          </w:p>
          <w:p w14:paraId="25D29F52" w14:textId="6357F38B" w:rsidR="004C3E30" w:rsidRPr="00D8350E" w:rsidRDefault="004C3E30" w:rsidP="004C3E30">
            <w:pPr>
              <w:ind w:left="2378" w:hangingChars="991" w:hanging="2378"/>
              <w:jc w:val="both"/>
              <w:rPr>
                <w:rFonts w:ascii="Times New Roman" w:eastAsia="標楷體" w:hAnsi="Times New Roman" w:cs="Times New Roman"/>
                <w:color w:val="000000" w:themeColor="text1"/>
                <w:szCs w:val="24"/>
              </w:rPr>
            </w:pPr>
            <w:r w:rsidRPr="00DE00E5">
              <w:rPr>
                <w:rFonts w:ascii="Times New Roman" w:eastAsia="標楷體" w:hAnsi="Times New Roman" w:cs="Times New Roman"/>
                <w:color w:val="000000" w:themeColor="text1"/>
                <w:szCs w:val="24"/>
              </w:rPr>
              <w:t>二、課程</w:t>
            </w:r>
            <w:r w:rsidRPr="00D8350E">
              <w:rPr>
                <w:rFonts w:ascii="Times New Roman" w:eastAsia="標楷體" w:hAnsi="Times New Roman" w:cs="Times New Roman"/>
                <w:color w:val="000000" w:themeColor="text1"/>
                <w:szCs w:val="24"/>
              </w:rPr>
              <w:t>規劃</w:t>
            </w:r>
            <w:r w:rsidR="00393D63" w:rsidRPr="00D8350E">
              <w:rPr>
                <w:rFonts w:ascii="Times New Roman" w:eastAsia="標楷體" w:hAnsi="Times New Roman" w:cs="Times New Roman" w:hint="eastAsia"/>
                <w:color w:val="000000" w:themeColor="text1"/>
                <w:szCs w:val="24"/>
              </w:rPr>
              <w:t>應</w:t>
            </w:r>
            <w:r w:rsidRPr="00D8350E">
              <w:rPr>
                <w:rFonts w:ascii="Times New Roman" w:eastAsia="標楷體" w:hAnsi="Times New Roman" w:cs="Times New Roman"/>
                <w:color w:val="000000" w:themeColor="text1"/>
                <w:szCs w:val="24"/>
              </w:rPr>
              <w:t>包含四大部分：</w:t>
            </w:r>
          </w:p>
          <w:p w14:paraId="4D9ADEB5" w14:textId="77777777" w:rsidR="00E62B85" w:rsidRPr="00D8350E" w:rsidRDefault="004C3E30" w:rsidP="00E62B85">
            <w:pPr>
              <w:pStyle w:val="a4"/>
              <w:numPr>
                <w:ilvl w:val="0"/>
                <w:numId w:val="4"/>
              </w:numPr>
              <w:ind w:leftChars="0"/>
              <w:jc w:val="both"/>
              <w:rPr>
                <w:rFonts w:ascii="Times New Roman" w:eastAsia="標楷體" w:hAnsi="Times New Roman" w:cs="Times New Roman"/>
                <w:color w:val="000000" w:themeColor="text1"/>
                <w:szCs w:val="24"/>
              </w:rPr>
            </w:pPr>
            <w:r w:rsidRPr="00D8350E">
              <w:rPr>
                <w:rFonts w:ascii="Times New Roman" w:eastAsia="標楷體" w:hAnsi="Times New Roman" w:cs="Times New Roman"/>
                <w:color w:val="000000" w:themeColor="text1"/>
                <w:szCs w:val="24"/>
              </w:rPr>
              <w:t>校訂必修及通識教育課程</w:t>
            </w:r>
            <w:r w:rsidRPr="00D8350E">
              <w:rPr>
                <w:rFonts w:ascii="Times New Roman" w:eastAsia="標楷體" w:hAnsi="Times New Roman" w:cs="Times New Roman"/>
                <w:color w:val="000000" w:themeColor="text1"/>
                <w:szCs w:val="24"/>
              </w:rPr>
              <w:t>28</w:t>
            </w:r>
            <w:r w:rsidRPr="00D8350E">
              <w:rPr>
                <w:rFonts w:ascii="Times New Roman" w:eastAsia="標楷體" w:hAnsi="Times New Roman" w:cs="Times New Roman"/>
                <w:color w:val="000000" w:themeColor="text1"/>
                <w:szCs w:val="24"/>
              </w:rPr>
              <w:t>學分</w:t>
            </w:r>
          </w:p>
          <w:p w14:paraId="36E0C743" w14:textId="36655DDE" w:rsidR="00E62B85" w:rsidRPr="00D8350E" w:rsidRDefault="004C3E30" w:rsidP="00E62B85">
            <w:pPr>
              <w:pStyle w:val="a4"/>
              <w:numPr>
                <w:ilvl w:val="0"/>
                <w:numId w:val="4"/>
              </w:numPr>
              <w:ind w:leftChars="0"/>
              <w:jc w:val="both"/>
              <w:rPr>
                <w:rFonts w:ascii="Times New Roman" w:eastAsia="標楷體" w:hAnsi="Times New Roman" w:cs="Times New Roman"/>
                <w:color w:val="000000" w:themeColor="text1"/>
                <w:szCs w:val="24"/>
              </w:rPr>
            </w:pPr>
            <w:r w:rsidRPr="00D8350E">
              <w:rPr>
                <w:rFonts w:ascii="Times New Roman" w:eastAsia="標楷體" w:hAnsi="Times New Roman" w:cs="Times New Roman"/>
                <w:color w:val="000000" w:themeColor="text1"/>
                <w:szCs w:val="24"/>
              </w:rPr>
              <w:t>跨領域學習模組</w:t>
            </w:r>
            <w:r w:rsidRPr="00D8350E">
              <w:rPr>
                <w:rFonts w:ascii="Times New Roman" w:eastAsia="標楷體" w:hAnsi="Times New Roman" w:cs="Times New Roman"/>
                <w:color w:val="000000" w:themeColor="text1"/>
                <w:szCs w:val="24"/>
              </w:rPr>
              <w:t>48</w:t>
            </w:r>
            <w:r w:rsidR="00C34B88" w:rsidRPr="00D8350E">
              <w:rPr>
                <w:rFonts w:ascii="Times New Roman" w:eastAsia="標楷體" w:hAnsi="Times New Roman" w:cs="Times New Roman" w:hint="eastAsia"/>
                <w:color w:val="000000" w:themeColor="text1"/>
                <w:szCs w:val="24"/>
              </w:rPr>
              <w:t>-</w:t>
            </w:r>
            <w:r w:rsidRPr="00D8350E">
              <w:rPr>
                <w:rFonts w:ascii="Times New Roman" w:eastAsia="標楷體" w:hAnsi="Times New Roman" w:cs="Times New Roman"/>
                <w:color w:val="000000" w:themeColor="text1"/>
                <w:szCs w:val="24"/>
              </w:rPr>
              <w:t>62</w:t>
            </w:r>
            <w:r w:rsidRPr="00D8350E">
              <w:rPr>
                <w:rFonts w:ascii="Times New Roman" w:eastAsia="標楷體" w:hAnsi="Times New Roman" w:cs="Times New Roman"/>
                <w:color w:val="000000" w:themeColor="text1"/>
                <w:szCs w:val="24"/>
              </w:rPr>
              <w:t>學分</w:t>
            </w:r>
          </w:p>
          <w:p w14:paraId="21AB7111" w14:textId="25068082" w:rsidR="00E62B85" w:rsidRPr="00D8350E" w:rsidRDefault="004C3E30" w:rsidP="00E62B85">
            <w:pPr>
              <w:pStyle w:val="a4"/>
              <w:numPr>
                <w:ilvl w:val="0"/>
                <w:numId w:val="4"/>
              </w:numPr>
              <w:ind w:leftChars="0"/>
              <w:jc w:val="both"/>
              <w:rPr>
                <w:rFonts w:ascii="Times New Roman" w:eastAsia="標楷體" w:hAnsi="Times New Roman" w:cs="Times New Roman"/>
                <w:color w:val="000000" w:themeColor="text1"/>
                <w:szCs w:val="24"/>
              </w:rPr>
            </w:pPr>
            <w:r w:rsidRPr="00D8350E">
              <w:rPr>
                <w:rFonts w:ascii="Times New Roman" w:eastAsia="標楷體" w:hAnsi="Times New Roman" w:cs="Times New Roman"/>
                <w:color w:val="000000" w:themeColor="text1"/>
                <w:szCs w:val="24"/>
              </w:rPr>
              <w:t>選修課程</w:t>
            </w:r>
            <w:r w:rsidR="00C34B88" w:rsidRPr="00D8350E">
              <w:rPr>
                <w:rFonts w:ascii="Times New Roman" w:eastAsia="標楷體" w:hAnsi="Times New Roman" w:cs="Times New Roman" w:hint="eastAsia"/>
                <w:color w:val="000000" w:themeColor="text1"/>
                <w:szCs w:val="24"/>
              </w:rPr>
              <w:t>38-52</w:t>
            </w:r>
            <w:r w:rsidR="00C34B88" w:rsidRPr="00D8350E">
              <w:rPr>
                <w:rFonts w:ascii="Times New Roman" w:eastAsia="標楷體" w:hAnsi="Times New Roman" w:cs="Times New Roman"/>
                <w:color w:val="000000" w:themeColor="text1"/>
                <w:szCs w:val="24"/>
              </w:rPr>
              <w:t>學分</w:t>
            </w:r>
          </w:p>
          <w:p w14:paraId="09DB36F6" w14:textId="58ED4636" w:rsidR="004C3E30" w:rsidRPr="00DE00E5" w:rsidRDefault="004C3E30" w:rsidP="00E62B85">
            <w:pPr>
              <w:pStyle w:val="a4"/>
              <w:numPr>
                <w:ilvl w:val="0"/>
                <w:numId w:val="4"/>
              </w:numPr>
              <w:ind w:leftChars="0"/>
              <w:jc w:val="both"/>
              <w:rPr>
                <w:rFonts w:ascii="Times New Roman" w:eastAsia="標楷體" w:hAnsi="Times New Roman" w:cs="Times New Roman"/>
                <w:color w:val="000000" w:themeColor="text1"/>
                <w:szCs w:val="24"/>
              </w:rPr>
            </w:pPr>
            <w:r w:rsidRPr="00DE00E5">
              <w:rPr>
                <w:rFonts w:ascii="Times New Roman" w:eastAsia="標楷體" w:hAnsi="Times New Roman" w:cs="Times New Roman"/>
                <w:color w:val="000000" w:themeColor="text1"/>
                <w:szCs w:val="24"/>
              </w:rPr>
              <w:t>實習、實作或專題課程至少</w:t>
            </w:r>
            <w:r w:rsidRPr="00DE00E5">
              <w:rPr>
                <w:rFonts w:ascii="Times New Roman" w:eastAsia="標楷體" w:hAnsi="Times New Roman" w:cs="Times New Roman"/>
                <w:color w:val="000000" w:themeColor="text1"/>
                <w:szCs w:val="24"/>
              </w:rPr>
              <w:t>1</w:t>
            </w:r>
            <w:r w:rsidRPr="00DE00E5">
              <w:rPr>
                <w:rFonts w:ascii="Times New Roman" w:eastAsia="標楷體" w:hAnsi="Times New Roman" w:cs="Times New Roman"/>
                <w:color w:val="000000" w:themeColor="text1"/>
                <w:szCs w:val="24"/>
              </w:rPr>
              <w:t>門</w:t>
            </w:r>
          </w:p>
          <w:p w14:paraId="6002F7BD" w14:textId="77777777" w:rsidR="00AB2C6E" w:rsidRPr="00DE00E5" w:rsidRDefault="00AB2C6E" w:rsidP="004C3E30">
            <w:pPr>
              <w:jc w:val="both"/>
              <w:rPr>
                <w:rFonts w:ascii="Times New Roman" w:eastAsia="標楷體" w:hAnsi="Times New Roman" w:cs="Times New Roman"/>
                <w:color w:val="000000" w:themeColor="text1"/>
                <w:szCs w:val="24"/>
              </w:rPr>
            </w:pPr>
            <w:r w:rsidRPr="00DE00E5">
              <w:rPr>
                <w:rFonts w:ascii="Times New Roman" w:eastAsia="標楷體" w:hAnsi="Times New Roman" w:cs="Times New Roman" w:hint="eastAsia"/>
                <w:color w:val="000000" w:themeColor="text1"/>
                <w:szCs w:val="24"/>
              </w:rPr>
              <w:t>前項第二款所稱</w:t>
            </w:r>
            <w:r w:rsidR="004C3E30" w:rsidRPr="00DE00E5">
              <w:rPr>
                <w:rFonts w:ascii="Times New Roman" w:eastAsia="標楷體" w:hAnsi="Times New Roman" w:cs="Times New Roman"/>
                <w:color w:val="000000" w:themeColor="text1"/>
                <w:szCs w:val="24"/>
              </w:rPr>
              <w:t>「跨領域學習模組」係由四個「領域專長模組」與「學分學程」共同構成。學生於修業期間須完成四個領域專長模組或學分學程，其組合方式可為</w:t>
            </w:r>
            <w:r w:rsidRPr="008031C3">
              <w:rPr>
                <w:rFonts w:ascii="Times New Roman" w:eastAsia="標楷體" w:hAnsi="Times New Roman" w:cs="Times New Roman" w:hint="eastAsia"/>
                <w:color w:val="000000" w:themeColor="text1"/>
                <w:szCs w:val="24"/>
              </w:rPr>
              <w:t>：</w:t>
            </w:r>
          </w:p>
          <w:p w14:paraId="293D4406" w14:textId="48523B1B" w:rsidR="00AB2C6E" w:rsidRPr="00DE00E5" w:rsidRDefault="004C3E30" w:rsidP="00AB2C6E">
            <w:pPr>
              <w:pStyle w:val="a4"/>
              <w:numPr>
                <w:ilvl w:val="0"/>
                <w:numId w:val="5"/>
              </w:numPr>
              <w:ind w:leftChars="0"/>
              <w:jc w:val="both"/>
              <w:rPr>
                <w:rFonts w:ascii="Times New Roman" w:eastAsia="新細明體" w:hAnsi="Times New Roman" w:cs="Times New Roman"/>
                <w:color w:val="000000" w:themeColor="text1"/>
                <w:szCs w:val="24"/>
              </w:rPr>
            </w:pPr>
            <w:r w:rsidRPr="00DE00E5">
              <w:rPr>
                <w:rFonts w:ascii="Times New Roman" w:eastAsia="標楷體" w:hAnsi="Times New Roman" w:cs="Times New Roman"/>
                <w:color w:val="000000" w:themeColor="text1"/>
                <w:szCs w:val="24"/>
              </w:rPr>
              <w:t>二個領域專長模組加二個學分學程</w:t>
            </w:r>
            <w:r w:rsidR="004C0BE4" w:rsidRPr="00DE00E5">
              <w:rPr>
                <w:rFonts w:ascii="Times New Roman" w:eastAsia="標楷體" w:hAnsi="Times New Roman" w:cs="Times New Roman" w:hint="eastAsia"/>
                <w:color w:val="000000" w:themeColor="text1"/>
                <w:szCs w:val="24"/>
              </w:rPr>
              <w:t>。</w:t>
            </w:r>
          </w:p>
          <w:p w14:paraId="50D80120" w14:textId="426C7C48" w:rsidR="00AB2C6E" w:rsidRPr="00DE00E5" w:rsidRDefault="004C3E30" w:rsidP="00AB2C6E">
            <w:pPr>
              <w:pStyle w:val="a4"/>
              <w:numPr>
                <w:ilvl w:val="0"/>
                <w:numId w:val="5"/>
              </w:numPr>
              <w:ind w:leftChars="0"/>
              <w:jc w:val="both"/>
              <w:rPr>
                <w:rFonts w:ascii="Times New Roman" w:eastAsia="新細明體" w:hAnsi="Times New Roman" w:cs="Times New Roman"/>
                <w:color w:val="000000" w:themeColor="text1"/>
                <w:szCs w:val="24"/>
              </w:rPr>
            </w:pPr>
            <w:r w:rsidRPr="00DE00E5">
              <w:rPr>
                <w:rFonts w:ascii="Times New Roman" w:eastAsia="標楷體" w:hAnsi="Times New Roman" w:cs="Times New Roman"/>
                <w:color w:val="000000" w:themeColor="text1"/>
                <w:szCs w:val="24"/>
              </w:rPr>
              <w:t>三個領域專長模組加一個學分學程</w:t>
            </w:r>
            <w:r w:rsidR="004C0BE4" w:rsidRPr="00DE00E5">
              <w:rPr>
                <w:rFonts w:ascii="Times New Roman" w:eastAsia="標楷體" w:hAnsi="Times New Roman" w:cs="Times New Roman" w:hint="eastAsia"/>
                <w:color w:val="000000" w:themeColor="text1"/>
                <w:szCs w:val="24"/>
              </w:rPr>
              <w:t>。</w:t>
            </w:r>
          </w:p>
          <w:p w14:paraId="490C5292" w14:textId="77777777" w:rsidR="00AB2C6E" w:rsidRPr="00DE00E5" w:rsidRDefault="004C3E30" w:rsidP="00AB2C6E">
            <w:pPr>
              <w:pStyle w:val="a4"/>
              <w:numPr>
                <w:ilvl w:val="0"/>
                <w:numId w:val="5"/>
              </w:numPr>
              <w:ind w:leftChars="0"/>
              <w:jc w:val="both"/>
              <w:rPr>
                <w:rFonts w:ascii="Times New Roman" w:eastAsia="新細明體" w:hAnsi="Times New Roman" w:cs="Times New Roman"/>
                <w:color w:val="000000" w:themeColor="text1"/>
                <w:szCs w:val="24"/>
              </w:rPr>
            </w:pPr>
            <w:r w:rsidRPr="00DE00E5">
              <w:rPr>
                <w:rFonts w:ascii="Times New Roman" w:eastAsia="標楷體" w:hAnsi="Times New Roman" w:cs="Times New Roman"/>
                <w:color w:val="000000" w:themeColor="text1"/>
                <w:szCs w:val="24"/>
              </w:rPr>
              <w:t>四個領域專長模組。</w:t>
            </w:r>
          </w:p>
          <w:p w14:paraId="6B3F82C8" w14:textId="44213573" w:rsidR="004C3E30" w:rsidRPr="00DE00E5" w:rsidRDefault="004C3E30" w:rsidP="00AB2C6E">
            <w:pPr>
              <w:jc w:val="both"/>
              <w:rPr>
                <w:rFonts w:ascii="Times New Roman" w:eastAsia="新細明體" w:hAnsi="Times New Roman" w:cs="Times New Roman"/>
                <w:color w:val="000000" w:themeColor="text1"/>
                <w:szCs w:val="24"/>
              </w:rPr>
            </w:pPr>
            <w:r w:rsidRPr="00DE00E5">
              <w:rPr>
                <w:rFonts w:ascii="Times New Roman" w:eastAsia="標楷體" w:hAnsi="Times New Roman" w:cs="Times New Roman"/>
                <w:color w:val="000000" w:themeColor="text1"/>
                <w:szCs w:val="24"/>
              </w:rPr>
              <w:t>為確保學習歷程</w:t>
            </w:r>
            <w:proofErr w:type="gramStart"/>
            <w:r w:rsidRPr="00DE00E5">
              <w:rPr>
                <w:rFonts w:ascii="Times New Roman" w:eastAsia="標楷體" w:hAnsi="Times New Roman" w:cs="Times New Roman"/>
                <w:color w:val="000000" w:themeColor="text1"/>
                <w:szCs w:val="24"/>
              </w:rPr>
              <w:t>兼具跨域廣度</w:t>
            </w:r>
            <w:proofErr w:type="gramEnd"/>
            <w:r w:rsidRPr="00DE00E5">
              <w:rPr>
                <w:rFonts w:ascii="Times New Roman" w:eastAsia="標楷體" w:hAnsi="Times New Roman" w:cs="Times New Roman"/>
                <w:color w:val="000000" w:themeColor="text1"/>
                <w:szCs w:val="24"/>
              </w:rPr>
              <w:t>與專業整合深度，所修習之模組或學程應橫跨至少兩個學院，且組合中須至少包含二個領域專長模組。</w:t>
            </w:r>
          </w:p>
        </w:tc>
      </w:tr>
      <w:tr w:rsidR="00DE00E5" w:rsidRPr="00DE00E5" w14:paraId="4C0D9D0E" w14:textId="77777777" w:rsidTr="00E85077">
        <w:tc>
          <w:tcPr>
            <w:tcW w:w="1129" w:type="dxa"/>
          </w:tcPr>
          <w:p w14:paraId="2D63C11F" w14:textId="3201DB7A" w:rsidR="00692E67" w:rsidRPr="00DE00E5" w:rsidRDefault="00692E67" w:rsidP="004C3E30">
            <w:pPr>
              <w:jc w:val="both"/>
              <w:rPr>
                <w:rFonts w:ascii="Times New Roman" w:eastAsia="標楷體" w:hAnsi="Times New Roman" w:cs="Times New Roman"/>
                <w:color w:val="000000" w:themeColor="text1"/>
                <w:szCs w:val="24"/>
              </w:rPr>
            </w:pPr>
            <w:r w:rsidRPr="00DE00E5">
              <w:rPr>
                <w:rFonts w:ascii="Times New Roman" w:eastAsia="標楷體" w:hAnsi="Times New Roman" w:cs="Times New Roman"/>
                <w:color w:val="000000" w:themeColor="text1"/>
                <w:szCs w:val="24"/>
              </w:rPr>
              <w:t>第</w:t>
            </w:r>
            <w:r w:rsidR="006944BA" w:rsidRPr="00DE00E5">
              <w:rPr>
                <w:rFonts w:ascii="Times New Roman" w:eastAsia="標楷體" w:hAnsi="Times New Roman" w:cs="Times New Roman" w:hint="eastAsia"/>
                <w:color w:val="000000" w:themeColor="text1"/>
                <w:szCs w:val="24"/>
              </w:rPr>
              <w:t>5</w:t>
            </w:r>
            <w:r w:rsidRPr="00DE00E5">
              <w:rPr>
                <w:rFonts w:ascii="Times New Roman" w:eastAsia="標楷體" w:hAnsi="Times New Roman" w:cs="Times New Roman"/>
                <w:color w:val="000000" w:themeColor="text1"/>
                <w:szCs w:val="24"/>
              </w:rPr>
              <w:t>條</w:t>
            </w:r>
          </w:p>
        </w:tc>
        <w:tc>
          <w:tcPr>
            <w:tcW w:w="8499" w:type="dxa"/>
          </w:tcPr>
          <w:p w14:paraId="19480718" w14:textId="1186206F" w:rsidR="008144FC" w:rsidRPr="00DE00E5" w:rsidRDefault="008144FC" w:rsidP="008144FC">
            <w:pPr>
              <w:jc w:val="both"/>
              <w:rPr>
                <w:rFonts w:ascii="Times New Roman" w:eastAsia="標楷體" w:hAnsi="Times New Roman" w:cs="Times New Roman"/>
                <w:color w:val="000000" w:themeColor="text1"/>
                <w:szCs w:val="24"/>
              </w:rPr>
            </w:pPr>
            <w:r w:rsidRPr="00DE00E5">
              <w:rPr>
                <w:rFonts w:ascii="Times New Roman" w:eastAsia="標楷體" w:hAnsi="Times New Roman" w:cs="Times New Roman"/>
                <w:color w:val="000000" w:themeColor="text1"/>
                <w:szCs w:val="24"/>
              </w:rPr>
              <w:t>學生修習領域專長</w:t>
            </w:r>
            <w:r w:rsidRPr="00DE00E5">
              <w:rPr>
                <w:rFonts w:ascii="Times New Roman" w:eastAsia="標楷體" w:hAnsi="Times New Roman" w:cs="Times New Roman" w:hint="eastAsia"/>
                <w:color w:val="000000" w:themeColor="text1"/>
                <w:szCs w:val="24"/>
              </w:rPr>
              <w:t>模組</w:t>
            </w:r>
            <w:r w:rsidRPr="00DE00E5">
              <w:rPr>
                <w:rFonts w:ascii="Times New Roman" w:eastAsia="標楷體" w:hAnsi="Times New Roman" w:cs="Times New Roman"/>
                <w:color w:val="000000" w:themeColor="text1"/>
                <w:szCs w:val="24"/>
              </w:rPr>
              <w:t>或學分學程</w:t>
            </w:r>
            <w:r w:rsidRPr="00DE00E5">
              <w:rPr>
                <w:rFonts w:ascii="Times New Roman" w:eastAsia="標楷體" w:hAnsi="Times New Roman" w:cs="Times New Roman" w:hint="eastAsia"/>
                <w:color w:val="000000" w:themeColor="text1"/>
                <w:szCs w:val="24"/>
              </w:rPr>
              <w:t>之</w:t>
            </w:r>
            <w:r w:rsidRPr="00DE00E5">
              <w:rPr>
                <w:rFonts w:ascii="Times New Roman" w:eastAsia="標楷體" w:hAnsi="Times New Roman" w:cs="Times New Roman"/>
                <w:color w:val="000000" w:themeColor="text1"/>
                <w:szCs w:val="24"/>
              </w:rPr>
              <w:t>課程，如與</w:t>
            </w:r>
            <w:r w:rsidRPr="00DE00E5">
              <w:rPr>
                <w:rFonts w:ascii="Times New Roman" w:eastAsia="標楷體" w:hAnsi="Times New Roman" w:cs="Times New Roman" w:hint="eastAsia"/>
                <w:color w:val="000000" w:themeColor="text1"/>
                <w:szCs w:val="24"/>
              </w:rPr>
              <w:t>原</w:t>
            </w:r>
            <w:r w:rsidRPr="00DE00E5">
              <w:rPr>
                <w:rFonts w:ascii="Times New Roman" w:eastAsia="標楷體" w:hAnsi="Times New Roman" w:cs="Times New Roman"/>
                <w:color w:val="000000" w:themeColor="text1"/>
                <w:szCs w:val="24"/>
              </w:rPr>
              <w:t>學系</w:t>
            </w:r>
            <w:r w:rsidRPr="00DE00E5">
              <w:rPr>
                <w:rFonts w:ascii="Times New Roman" w:eastAsia="標楷體" w:hAnsi="Times New Roman" w:cs="Times New Roman" w:hint="eastAsia"/>
                <w:color w:val="000000" w:themeColor="text1"/>
                <w:szCs w:val="24"/>
              </w:rPr>
              <w:t>必修或與</w:t>
            </w:r>
            <w:r w:rsidRPr="00DE00E5">
              <w:rPr>
                <w:rFonts w:ascii="Times New Roman" w:eastAsia="標楷體" w:hAnsi="Times New Roman" w:cs="Times New Roman"/>
                <w:color w:val="000000" w:themeColor="text1"/>
                <w:szCs w:val="24"/>
              </w:rPr>
              <w:t>修讀之其他領域專長</w:t>
            </w:r>
            <w:r w:rsidRPr="00DE00E5">
              <w:rPr>
                <w:rFonts w:ascii="Times New Roman" w:eastAsia="標楷體" w:hAnsi="Times New Roman" w:cs="Times New Roman" w:hint="eastAsia"/>
                <w:color w:val="000000" w:themeColor="text1"/>
                <w:szCs w:val="24"/>
              </w:rPr>
              <w:t>模組（</w:t>
            </w:r>
            <w:r w:rsidRPr="00DE00E5">
              <w:rPr>
                <w:rFonts w:ascii="Times New Roman" w:eastAsia="標楷體" w:hAnsi="Times New Roman" w:cs="Times New Roman"/>
                <w:color w:val="000000" w:themeColor="text1"/>
                <w:szCs w:val="24"/>
              </w:rPr>
              <w:t>或學分學程</w:t>
            </w:r>
            <w:r w:rsidRPr="00DE00E5">
              <w:rPr>
                <w:rFonts w:ascii="Times New Roman" w:eastAsia="標楷體" w:hAnsi="Times New Roman" w:cs="Times New Roman" w:hint="eastAsia"/>
                <w:color w:val="000000" w:themeColor="text1"/>
                <w:szCs w:val="24"/>
              </w:rPr>
              <w:t>）</w:t>
            </w:r>
            <w:r w:rsidRPr="00DE00E5">
              <w:rPr>
                <w:rFonts w:ascii="Times New Roman" w:eastAsia="標楷體" w:hAnsi="Times New Roman" w:cs="Times New Roman"/>
                <w:color w:val="000000" w:themeColor="text1"/>
                <w:szCs w:val="24"/>
              </w:rPr>
              <w:t>之</w:t>
            </w:r>
            <w:r w:rsidRPr="00DE00E5">
              <w:rPr>
                <w:rFonts w:ascii="Times New Roman" w:eastAsia="標楷體" w:hAnsi="Times New Roman" w:cs="Times New Roman" w:hint="eastAsia"/>
                <w:color w:val="000000" w:themeColor="text1"/>
                <w:szCs w:val="24"/>
              </w:rPr>
              <w:t>課程</w:t>
            </w:r>
            <w:r w:rsidRPr="00DE00E5">
              <w:rPr>
                <w:rFonts w:ascii="Times New Roman" w:eastAsia="標楷體" w:hAnsi="Times New Roman" w:cs="Times New Roman"/>
                <w:color w:val="000000" w:themeColor="text1"/>
                <w:szCs w:val="24"/>
              </w:rPr>
              <w:t>名稱相同者，不得重複</w:t>
            </w:r>
            <w:proofErr w:type="gramStart"/>
            <w:r w:rsidRPr="00DE00E5">
              <w:rPr>
                <w:rFonts w:ascii="Times New Roman" w:eastAsia="標楷體" w:hAnsi="Times New Roman" w:cs="Times New Roman"/>
                <w:color w:val="000000" w:themeColor="text1"/>
                <w:szCs w:val="24"/>
              </w:rPr>
              <w:t>採</w:t>
            </w:r>
            <w:proofErr w:type="gramEnd"/>
            <w:r w:rsidRPr="00DE00E5">
              <w:rPr>
                <w:rFonts w:ascii="Times New Roman" w:eastAsia="標楷體" w:hAnsi="Times New Roman" w:cs="Times New Roman"/>
                <w:color w:val="000000" w:themeColor="text1"/>
                <w:szCs w:val="24"/>
              </w:rPr>
              <w:t>計</w:t>
            </w:r>
            <w:r w:rsidRPr="00DE00E5">
              <w:rPr>
                <w:rFonts w:ascii="Times New Roman" w:eastAsia="標楷體" w:hAnsi="Times New Roman" w:cs="Times New Roman" w:hint="eastAsia"/>
                <w:color w:val="000000" w:themeColor="text1"/>
                <w:szCs w:val="24"/>
              </w:rPr>
              <w:t>為畢業學分。</w:t>
            </w:r>
          </w:p>
          <w:p w14:paraId="66F47A88" w14:textId="06C7C065" w:rsidR="008144FC" w:rsidRPr="00DE00E5" w:rsidRDefault="008144FC" w:rsidP="003630EA">
            <w:pPr>
              <w:jc w:val="both"/>
              <w:rPr>
                <w:rFonts w:ascii="Times New Roman" w:eastAsia="標楷體" w:hAnsi="Times New Roman" w:cs="Times New Roman"/>
                <w:color w:val="000000" w:themeColor="text1"/>
                <w:szCs w:val="24"/>
              </w:rPr>
            </w:pPr>
            <w:r w:rsidRPr="00DE00E5">
              <w:rPr>
                <w:rFonts w:ascii="Times New Roman" w:eastAsia="標楷體" w:hAnsi="Times New Roman" w:cs="Times New Roman" w:hint="eastAsia"/>
                <w:color w:val="000000" w:themeColor="text1"/>
                <w:szCs w:val="24"/>
              </w:rPr>
              <w:t>前項重複之學分，</w:t>
            </w:r>
            <w:r w:rsidRPr="00DE00E5">
              <w:rPr>
                <w:rFonts w:ascii="Times New Roman" w:eastAsia="標楷體" w:hAnsi="Times New Roman" w:cs="Times New Roman"/>
                <w:color w:val="000000" w:themeColor="text1"/>
                <w:szCs w:val="24"/>
              </w:rPr>
              <w:t>應</w:t>
            </w:r>
            <w:r w:rsidRPr="00DE00E5">
              <w:rPr>
                <w:rFonts w:ascii="Times New Roman" w:eastAsia="標楷體" w:hAnsi="Times New Roman" w:cs="Times New Roman" w:hint="eastAsia"/>
                <w:color w:val="000000" w:themeColor="text1"/>
                <w:szCs w:val="24"/>
              </w:rPr>
              <w:t>由該</w:t>
            </w:r>
            <w:r w:rsidRPr="00DE00E5">
              <w:rPr>
                <w:rFonts w:ascii="Times New Roman" w:eastAsia="標楷體" w:hAnsi="Times New Roman" w:cs="Times New Roman"/>
                <w:color w:val="000000" w:themeColor="text1"/>
                <w:szCs w:val="24"/>
              </w:rPr>
              <w:t>領域專長</w:t>
            </w:r>
            <w:r w:rsidRPr="00DE00E5">
              <w:rPr>
                <w:rFonts w:ascii="Times New Roman" w:eastAsia="標楷體" w:hAnsi="Times New Roman" w:cs="Times New Roman" w:hint="eastAsia"/>
                <w:color w:val="000000" w:themeColor="text1"/>
                <w:szCs w:val="24"/>
              </w:rPr>
              <w:t>模組</w:t>
            </w:r>
            <w:r w:rsidRPr="00DE00E5">
              <w:rPr>
                <w:rFonts w:ascii="Times New Roman" w:eastAsia="標楷體" w:hAnsi="Times New Roman" w:cs="Times New Roman"/>
                <w:color w:val="000000" w:themeColor="text1"/>
                <w:szCs w:val="24"/>
              </w:rPr>
              <w:t>或學分學程</w:t>
            </w:r>
            <w:r w:rsidRPr="00DE00E5">
              <w:rPr>
                <w:rFonts w:ascii="Times New Roman" w:eastAsia="標楷體" w:hAnsi="Times New Roman" w:cs="Times New Roman" w:hint="eastAsia"/>
                <w:color w:val="000000" w:themeColor="text1"/>
                <w:szCs w:val="24"/>
              </w:rPr>
              <w:t>之開設</w:t>
            </w:r>
            <w:r w:rsidRPr="00DE00E5">
              <w:rPr>
                <w:rFonts w:ascii="Times New Roman" w:eastAsia="標楷體" w:hAnsi="Times New Roman" w:cs="Times New Roman"/>
                <w:color w:val="000000" w:themeColor="text1"/>
                <w:szCs w:val="24"/>
              </w:rPr>
              <w:t>學系</w:t>
            </w:r>
            <w:r w:rsidRPr="00DE00E5">
              <w:rPr>
                <w:rFonts w:ascii="Times New Roman" w:eastAsia="標楷體" w:hAnsi="Times New Roman" w:cs="Times New Roman" w:hint="eastAsia"/>
                <w:color w:val="000000" w:themeColor="text1"/>
                <w:szCs w:val="24"/>
              </w:rPr>
              <w:t>核定其他</w:t>
            </w:r>
            <w:r w:rsidRPr="00DE00E5">
              <w:rPr>
                <w:rFonts w:ascii="Times New Roman" w:eastAsia="標楷體" w:hAnsi="Times New Roman" w:cs="Times New Roman"/>
                <w:color w:val="000000" w:themeColor="text1"/>
                <w:szCs w:val="24"/>
              </w:rPr>
              <w:t>課程</w:t>
            </w:r>
            <w:r w:rsidRPr="00DE00E5">
              <w:rPr>
                <w:rFonts w:ascii="Times New Roman" w:eastAsia="標楷體" w:hAnsi="Times New Roman" w:cs="Times New Roman" w:hint="eastAsia"/>
                <w:color w:val="000000" w:themeColor="text1"/>
                <w:szCs w:val="24"/>
              </w:rPr>
              <w:t>供學生修習</w:t>
            </w:r>
            <w:r w:rsidRPr="00DE00E5">
              <w:rPr>
                <w:rFonts w:ascii="Times New Roman" w:eastAsia="標楷體" w:hAnsi="Times New Roman" w:cs="Times New Roman"/>
                <w:color w:val="000000" w:themeColor="text1"/>
                <w:szCs w:val="24"/>
              </w:rPr>
              <w:t>補足，並</w:t>
            </w:r>
            <w:r w:rsidRPr="00DE00E5">
              <w:rPr>
                <w:rFonts w:ascii="Times New Roman" w:eastAsia="標楷體" w:hAnsi="Times New Roman" w:cs="Times New Roman" w:hint="eastAsia"/>
                <w:color w:val="000000" w:themeColor="text1"/>
                <w:szCs w:val="24"/>
              </w:rPr>
              <w:t>由學生</w:t>
            </w:r>
            <w:r w:rsidRPr="00DE00E5">
              <w:rPr>
                <w:rFonts w:ascii="Times New Roman" w:eastAsia="標楷體" w:hAnsi="Times New Roman" w:cs="Times New Roman"/>
                <w:color w:val="000000" w:themeColor="text1"/>
                <w:szCs w:val="24"/>
              </w:rPr>
              <w:t>檢具書面</w:t>
            </w:r>
            <w:proofErr w:type="gramStart"/>
            <w:r w:rsidRPr="00DE00E5">
              <w:rPr>
                <w:rFonts w:ascii="Times New Roman" w:eastAsia="標楷體" w:hAnsi="Times New Roman" w:cs="Times New Roman" w:hint="eastAsia"/>
                <w:color w:val="000000" w:themeColor="text1"/>
                <w:szCs w:val="24"/>
              </w:rPr>
              <w:t>報告</w:t>
            </w:r>
            <w:r w:rsidRPr="00DE00E5">
              <w:rPr>
                <w:rFonts w:ascii="Times New Roman" w:eastAsia="標楷體" w:hAnsi="Times New Roman" w:cs="Times New Roman"/>
                <w:color w:val="000000" w:themeColor="text1"/>
                <w:szCs w:val="24"/>
              </w:rPr>
              <w:t>送通識</w:t>
            </w:r>
            <w:proofErr w:type="gramEnd"/>
            <w:r w:rsidRPr="00DE00E5">
              <w:rPr>
                <w:rFonts w:ascii="Times New Roman" w:eastAsia="標楷體" w:hAnsi="Times New Roman" w:cs="Times New Roman"/>
                <w:color w:val="000000" w:themeColor="text1"/>
                <w:szCs w:val="24"/>
              </w:rPr>
              <w:t>中心存查。</w:t>
            </w:r>
          </w:p>
        </w:tc>
      </w:tr>
      <w:tr w:rsidR="00DE00E5" w:rsidRPr="00DE00E5" w14:paraId="501E977E" w14:textId="77777777" w:rsidTr="00E85077">
        <w:tc>
          <w:tcPr>
            <w:tcW w:w="1129" w:type="dxa"/>
          </w:tcPr>
          <w:p w14:paraId="6C38244B" w14:textId="19C65843" w:rsidR="004C3E30" w:rsidRPr="00DE00E5" w:rsidRDefault="004C3E30" w:rsidP="004C3E30">
            <w:pPr>
              <w:jc w:val="both"/>
              <w:rPr>
                <w:rFonts w:ascii="Times New Roman" w:eastAsia="標楷體" w:hAnsi="Times New Roman" w:cs="Times New Roman"/>
                <w:color w:val="000000" w:themeColor="text1"/>
                <w:sz w:val="20"/>
                <w:szCs w:val="20"/>
              </w:rPr>
            </w:pPr>
            <w:r w:rsidRPr="00DE00E5">
              <w:rPr>
                <w:rFonts w:ascii="Times New Roman" w:eastAsia="標楷體" w:hAnsi="Times New Roman" w:cs="Times New Roman"/>
                <w:color w:val="000000" w:themeColor="text1"/>
                <w:szCs w:val="24"/>
              </w:rPr>
              <w:t>第</w:t>
            </w:r>
            <w:r w:rsidR="006944BA" w:rsidRPr="00DE00E5">
              <w:rPr>
                <w:rFonts w:ascii="Times New Roman" w:eastAsia="標楷體" w:hAnsi="Times New Roman" w:cs="Times New Roman" w:hint="eastAsia"/>
                <w:color w:val="000000" w:themeColor="text1"/>
                <w:szCs w:val="24"/>
              </w:rPr>
              <w:t>6</w:t>
            </w:r>
            <w:r w:rsidRPr="00DE00E5">
              <w:rPr>
                <w:rFonts w:ascii="Times New Roman" w:eastAsia="標楷體" w:hAnsi="Times New Roman" w:cs="Times New Roman"/>
                <w:color w:val="000000" w:themeColor="text1"/>
                <w:szCs w:val="24"/>
              </w:rPr>
              <w:t>條</w:t>
            </w:r>
          </w:p>
        </w:tc>
        <w:tc>
          <w:tcPr>
            <w:tcW w:w="8499" w:type="dxa"/>
          </w:tcPr>
          <w:p w14:paraId="5DC5FF81" w14:textId="77777777" w:rsidR="004C3E30" w:rsidRPr="00DE00E5" w:rsidRDefault="004C3E30" w:rsidP="004C3E30">
            <w:pPr>
              <w:jc w:val="both"/>
              <w:rPr>
                <w:rFonts w:ascii="Times New Roman" w:eastAsia="標楷體" w:hAnsi="Times New Roman" w:cs="Times New Roman"/>
                <w:color w:val="000000" w:themeColor="text1"/>
                <w:szCs w:val="24"/>
              </w:rPr>
            </w:pPr>
            <w:r w:rsidRPr="00DE00E5">
              <w:rPr>
                <w:rFonts w:ascii="Times New Roman" w:eastAsia="標楷體" w:hAnsi="Times New Roman" w:cs="Times New Roman"/>
                <w:color w:val="000000" w:themeColor="text1"/>
                <w:szCs w:val="24"/>
              </w:rPr>
              <w:t>學生</w:t>
            </w:r>
            <w:proofErr w:type="gramStart"/>
            <w:r w:rsidRPr="00DE00E5">
              <w:rPr>
                <w:rFonts w:ascii="Times New Roman" w:eastAsia="標楷體" w:hAnsi="Times New Roman" w:cs="Times New Roman"/>
                <w:color w:val="000000" w:themeColor="text1"/>
                <w:szCs w:val="24"/>
              </w:rPr>
              <w:t>修讀跨領域</w:t>
            </w:r>
            <w:proofErr w:type="gramEnd"/>
            <w:r w:rsidRPr="00DE00E5">
              <w:rPr>
                <w:rFonts w:ascii="Times New Roman" w:eastAsia="標楷體" w:hAnsi="Times New Roman" w:cs="Times New Roman"/>
                <w:color w:val="000000" w:themeColor="text1"/>
                <w:szCs w:val="24"/>
              </w:rPr>
              <w:t>學士學位期間</w:t>
            </w:r>
            <w:proofErr w:type="gramStart"/>
            <w:r w:rsidRPr="00DE00E5">
              <w:rPr>
                <w:rFonts w:ascii="Times New Roman" w:eastAsia="標楷體" w:hAnsi="Times New Roman" w:cs="Times New Roman"/>
                <w:color w:val="000000" w:themeColor="text1"/>
                <w:szCs w:val="24"/>
              </w:rPr>
              <w:t>如須異動</w:t>
            </w:r>
            <w:proofErr w:type="gramEnd"/>
            <w:r w:rsidRPr="00DE00E5">
              <w:rPr>
                <w:rFonts w:ascii="Times New Roman" w:eastAsia="標楷體" w:hAnsi="Times New Roman" w:cs="Times New Roman"/>
                <w:color w:val="000000" w:themeColor="text1"/>
                <w:szCs w:val="24"/>
              </w:rPr>
              <w:t>下列事項，應向通識中心提出申請，經審查小組審查通過後，始得變更：</w:t>
            </w:r>
          </w:p>
          <w:p w14:paraId="0FE7EFFA" w14:textId="477758F3" w:rsidR="004C3E30" w:rsidRPr="00DE00E5" w:rsidRDefault="004C3E30" w:rsidP="004C3E30">
            <w:pPr>
              <w:jc w:val="both"/>
              <w:rPr>
                <w:rFonts w:ascii="Times New Roman" w:eastAsia="標楷體" w:hAnsi="Times New Roman" w:cs="Times New Roman"/>
                <w:color w:val="000000" w:themeColor="text1"/>
                <w:szCs w:val="24"/>
              </w:rPr>
            </w:pPr>
            <w:r w:rsidRPr="00DE00E5">
              <w:rPr>
                <w:rFonts w:ascii="Times New Roman" w:eastAsia="標楷體" w:hAnsi="Times New Roman" w:cs="Times New Roman"/>
                <w:color w:val="000000" w:themeColor="text1"/>
                <w:szCs w:val="24"/>
              </w:rPr>
              <w:t>一、</w:t>
            </w:r>
            <w:r w:rsidR="00637658" w:rsidRPr="00DE00E5">
              <w:rPr>
                <w:rFonts w:ascii="Times New Roman" w:eastAsia="標楷體" w:hAnsi="Times New Roman" w:cs="Times New Roman"/>
                <w:color w:val="000000" w:themeColor="text1"/>
                <w:szCs w:val="24"/>
              </w:rPr>
              <w:t>領域專長模組</w:t>
            </w:r>
            <w:r w:rsidR="00E054C7" w:rsidRPr="00DE00E5">
              <w:rPr>
                <w:rFonts w:ascii="Times New Roman" w:eastAsia="標楷體" w:hAnsi="Times New Roman" w:cs="Times New Roman" w:hint="eastAsia"/>
                <w:color w:val="000000" w:themeColor="text1"/>
                <w:szCs w:val="24"/>
              </w:rPr>
              <w:t>或</w:t>
            </w:r>
            <w:r w:rsidR="00637658" w:rsidRPr="00DE00E5">
              <w:rPr>
                <w:rFonts w:ascii="Times New Roman" w:eastAsia="標楷體" w:hAnsi="Times New Roman" w:cs="Times New Roman"/>
                <w:color w:val="000000" w:themeColor="text1"/>
                <w:szCs w:val="24"/>
              </w:rPr>
              <w:t>學分學程</w:t>
            </w:r>
            <w:r w:rsidRPr="00DE00E5">
              <w:rPr>
                <w:rFonts w:ascii="Times New Roman" w:eastAsia="標楷體" w:hAnsi="Times New Roman" w:cs="Times New Roman"/>
                <w:color w:val="000000" w:themeColor="text1"/>
                <w:szCs w:val="24"/>
              </w:rPr>
              <w:t>。</w:t>
            </w:r>
          </w:p>
          <w:p w14:paraId="4FEE03D0" w14:textId="1A767B1A" w:rsidR="004C3E30" w:rsidRPr="00DE00E5" w:rsidRDefault="004C3E30" w:rsidP="004C3E30">
            <w:pPr>
              <w:jc w:val="both"/>
              <w:rPr>
                <w:rFonts w:ascii="Times New Roman" w:eastAsia="標楷體" w:hAnsi="Times New Roman" w:cs="Times New Roman"/>
                <w:color w:val="000000" w:themeColor="text1"/>
                <w:szCs w:val="24"/>
              </w:rPr>
            </w:pPr>
            <w:r w:rsidRPr="00DE00E5">
              <w:rPr>
                <w:rFonts w:ascii="Times New Roman" w:eastAsia="標楷體" w:hAnsi="Times New Roman" w:cs="Times New Roman"/>
                <w:color w:val="000000" w:themeColor="text1"/>
                <w:szCs w:val="24"/>
              </w:rPr>
              <w:lastRenderedPageBreak/>
              <w:t>二、實習、實作或專題課程。</w:t>
            </w:r>
          </w:p>
          <w:p w14:paraId="40D540AA" w14:textId="61CE5990" w:rsidR="00E054C7" w:rsidRPr="00DE00E5" w:rsidRDefault="004C3E30" w:rsidP="004C3E30">
            <w:pPr>
              <w:jc w:val="both"/>
              <w:rPr>
                <w:rFonts w:ascii="Times New Roman" w:eastAsia="標楷體" w:hAnsi="Times New Roman" w:cs="Times New Roman"/>
                <w:color w:val="000000" w:themeColor="text1"/>
                <w:szCs w:val="24"/>
              </w:rPr>
            </w:pPr>
            <w:r w:rsidRPr="00DE00E5">
              <w:rPr>
                <w:rFonts w:ascii="Times New Roman" w:eastAsia="標楷體" w:hAnsi="Times New Roman" w:cs="Times New Roman"/>
                <w:color w:val="000000" w:themeColor="text1"/>
                <w:szCs w:val="24"/>
              </w:rPr>
              <w:t>三、修讀領域名稱或學士學位名稱。</w:t>
            </w:r>
          </w:p>
        </w:tc>
      </w:tr>
      <w:tr w:rsidR="00DE00E5" w:rsidRPr="00DE00E5" w14:paraId="48B0F022" w14:textId="77777777" w:rsidTr="00E85077">
        <w:tc>
          <w:tcPr>
            <w:tcW w:w="1129" w:type="dxa"/>
          </w:tcPr>
          <w:p w14:paraId="40A69F87" w14:textId="273298F6" w:rsidR="004C3E30" w:rsidRPr="00DE00E5" w:rsidRDefault="004C3E30" w:rsidP="004C3E30">
            <w:pPr>
              <w:jc w:val="both"/>
              <w:rPr>
                <w:rFonts w:ascii="Times New Roman" w:eastAsia="標楷體" w:hAnsi="Times New Roman" w:cs="Times New Roman"/>
                <w:color w:val="000000" w:themeColor="text1"/>
                <w:sz w:val="20"/>
                <w:szCs w:val="20"/>
              </w:rPr>
            </w:pPr>
            <w:r w:rsidRPr="00DE00E5">
              <w:rPr>
                <w:rFonts w:ascii="Times New Roman" w:eastAsia="標楷體" w:hAnsi="Times New Roman" w:cs="Times New Roman"/>
                <w:color w:val="000000" w:themeColor="text1"/>
                <w:szCs w:val="24"/>
              </w:rPr>
              <w:lastRenderedPageBreak/>
              <w:t>第</w:t>
            </w:r>
            <w:r w:rsidR="006944BA" w:rsidRPr="00DE00E5">
              <w:rPr>
                <w:rFonts w:ascii="Times New Roman" w:eastAsia="標楷體" w:hAnsi="Times New Roman" w:cs="Times New Roman" w:hint="eastAsia"/>
                <w:color w:val="000000" w:themeColor="text1"/>
                <w:szCs w:val="24"/>
              </w:rPr>
              <w:t>7</w:t>
            </w:r>
            <w:r w:rsidRPr="00DE00E5">
              <w:rPr>
                <w:rFonts w:ascii="Times New Roman" w:eastAsia="標楷體" w:hAnsi="Times New Roman" w:cs="Times New Roman"/>
                <w:color w:val="000000" w:themeColor="text1"/>
                <w:szCs w:val="24"/>
              </w:rPr>
              <w:t>條</w:t>
            </w:r>
          </w:p>
        </w:tc>
        <w:tc>
          <w:tcPr>
            <w:tcW w:w="8499" w:type="dxa"/>
          </w:tcPr>
          <w:p w14:paraId="6844CC2C" w14:textId="77777777" w:rsidR="004C3E30" w:rsidRPr="00DE00E5" w:rsidRDefault="004C3E30" w:rsidP="004C3E30">
            <w:pPr>
              <w:jc w:val="both"/>
              <w:rPr>
                <w:rFonts w:ascii="Times New Roman" w:eastAsia="標楷體" w:hAnsi="Times New Roman" w:cs="Times New Roman"/>
                <w:color w:val="000000" w:themeColor="text1"/>
                <w:szCs w:val="24"/>
              </w:rPr>
            </w:pPr>
            <w:proofErr w:type="gramStart"/>
            <w:r w:rsidRPr="00DE00E5">
              <w:rPr>
                <w:rFonts w:ascii="Times New Roman" w:eastAsia="標楷體" w:hAnsi="Times New Roman" w:cs="Times New Roman"/>
                <w:color w:val="000000" w:themeColor="text1"/>
                <w:szCs w:val="24"/>
              </w:rPr>
              <w:t>修讀跨領域</w:t>
            </w:r>
            <w:proofErr w:type="gramEnd"/>
            <w:r w:rsidRPr="00DE00E5">
              <w:rPr>
                <w:rFonts w:ascii="Times New Roman" w:eastAsia="標楷體" w:hAnsi="Times New Roman" w:cs="Times New Roman"/>
                <w:color w:val="000000" w:themeColor="text1"/>
                <w:szCs w:val="24"/>
              </w:rPr>
              <w:t>學士學位學生，已符合原學系畢業資格，但未符合跨領域學士學位畢業資格者，得向通識中心提出放棄修讀，並副知教務處以原學系資格畢業。</w:t>
            </w:r>
          </w:p>
          <w:p w14:paraId="3259A055" w14:textId="784610B5" w:rsidR="004C3E30" w:rsidRPr="00DE00E5" w:rsidRDefault="004C3E30" w:rsidP="004C3E30">
            <w:pPr>
              <w:jc w:val="both"/>
              <w:rPr>
                <w:rFonts w:ascii="Times New Roman" w:eastAsia="標楷體" w:hAnsi="Times New Roman" w:cs="Times New Roman"/>
                <w:color w:val="000000" w:themeColor="text1"/>
                <w:szCs w:val="24"/>
              </w:rPr>
            </w:pPr>
            <w:proofErr w:type="gramStart"/>
            <w:r w:rsidRPr="00DE00E5">
              <w:rPr>
                <w:rFonts w:ascii="Times New Roman" w:eastAsia="標楷體" w:hAnsi="Times New Roman" w:cs="Times New Roman"/>
                <w:color w:val="000000" w:themeColor="text1"/>
                <w:szCs w:val="24"/>
              </w:rPr>
              <w:t>修讀跨領域</w:t>
            </w:r>
            <w:proofErr w:type="gramEnd"/>
            <w:r w:rsidRPr="00DE00E5">
              <w:rPr>
                <w:rFonts w:ascii="Times New Roman" w:eastAsia="標楷體" w:hAnsi="Times New Roman" w:cs="Times New Roman"/>
                <w:color w:val="000000" w:themeColor="text1"/>
                <w:szCs w:val="24"/>
              </w:rPr>
              <w:t>學士學位學生，已符合跨領域學士學位畢業資格，但未符合原學系畢業資格者，得向教務處提出放棄修讀原學系，以跨領域學士學位資格畢業。</w:t>
            </w:r>
          </w:p>
          <w:p w14:paraId="3368A962" w14:textId="366577D5" w:rsidR="004C3E30" w:rsidRPr="00DE00E5" w:rsidRDefault="004C3E30" w:rsidP="004C3E30">
            <w:pPr>
              <w:jc w:val="both"/>
              <w:rPr>
                <w:rFonts w:ascii="Times New Roman" w:eastAsia="標楷體" w:hAnsi="Times New Roman" w:cs="Times New Roman"/>
                <w:color w:val="000000" w:themeColor="text1"/>
                <w:szCs w:val="24"/>
              </w:rPr>
            </w:pPr>
            <w:r w:rsidRPr="00DE00E5">
              <w:rPr>
                <w:rFonts w:ascii="Times New Roman" w:eastAsia="標楷體" w:hAnsi="Times New Roman" w:cs="Times New Roman"/>
                <w:color w:val="000000" w:themeColor="text1"/>
                <w:szCs w:val="24"/>
              </w:rPr>
              <w:t>學生依第一項申請放棄</w:t>
            </w:r>
            <w:proofErr w:type="gramStart"/>
            <w:r w:rsidRPr="00DE00E5">
              <w:rPr>
                <w:rFonts w:ascii="Times New Roman" w:eastAsia="標楷體" w:hAnsi="Times New Roman" w:cs="Times New Roman"/>
                <w:color w:val="000000" w:themeColor="text1"/>
                <w:szCs w:val="24"/>
              </w:rPr>
              <w:t>修讀跨領域</w:t>
            </w:r>
            <w:proofErr w:type="gramEnd"/>
            <w:r w:rsidRPr="00DE00E5">
              <w:rPr>
                <w:rFonts w:ascii="Times New Roman" w:eastAsia="標楷體" w:hAnsi="Times New Roman" w:cs="Times New Roman"/>
                <w:color w:val="000000" w:themeColor="text1"/>
                <w:szCs w:val="24"/>
              </w:rPr>
              <w:t>學士學位資格，</w:t>
            </w:r>
            <w:r w:rsidR="00637658" w:rsidRPr="00DE00E5">
              <w:rPr>
                <w:rFonts w:ascii="Times New Roman" w:eastAsia="標楷體" w:hAnsi="Times New Roman" w:cs="Times New Roman"/>
                <w:color w:val="000000" w:themeColor="text1"/>
                <w:szCs w:val="24"/>
              </w:rPr>
              <w:t>至遲應於</w:t>
            </w:r>
            <w:r w:rsidR="00637658" w:rsidRPr="00AE0FCA">
              <w:rPr>
                <w:rFonts w:ascii="Times New Roman" w:eastAsia="標楷體" w:hAnsi="Times New Roman" w:cs="Times New Roman"/>
                <w:color w:val="000000" w:themeColor="text1"/>
                <w:szCs w:val="24"/>
              </w:rPr>
              <w:t>每學期第</w:t>
            </w:r>
            <w:r w:rsidR="00637658" w:rsidRPr="00AE0FCA">
              <w:rPr>
                <w:rFonts w:ascii="Times New Roman" w:eastAsia="標楷體" w:hAnsi="Times New Roman" w:cs="Times New Roman"/>
                <w:color w:val="000000" w:themeColor="text1"/>
                <w:szCs w:val="24"/>
              </w:rPr>
              <w:t>14</w:t>
            </w:r>
            <w:proofErr w:type="gramStart"/>
            <w:r w:rsidR="00637658" w:rsidRPr="00AE0FCA">
              <w:rPr>
                <w:rFonts w:ascii="Times New Roman" w:eastAsia="標楷體" w:hAnsi="Times New Roman" w:cs="Times New Roman"/>
                <w:color w:val="000000" w:themeColor="text1"/>
                <w:szCs w:val="24"/>
              </w:rPr>
              <w:t>週</w:t>
            </w:r>
            <w:proofErr w:type="gramEnd"/>
            <w:r w:rsidRPr="00AE0FCA">
              <w:rPr>
                <w:rFonts w:ascii="Times New Roman" w:eastAsia="標楷體" w:hAnsi="Times New Roman" w:cs="Times New Roman"/>
                <w:color w:val="000000" w:themeColor="text1"/>
                <w:szCs w:val="24"/>
              </w:rPr>
              <w:t>（含）</w:t>
            </w:r>
            <w:r w:rsidRPr="00DE00E5">
              <w:rPr>
                <w:rFonts w:ascii="Times New Roman" w:eastAsia="標楷體" w:hAnsi="Times New Roman" w:cs="Times New Roman"/>
                <w:color w:val="000000" w:themeColor="text1"/>
                <w:szCs w:val="24"/>
              </w:rPr>
              <w:t>提出。但有下列情形之</w:t>
            </w:r>
            <w:proofErr w:type="gramStart"/>
            <w:r w:rsidRPr="00DE00E5">
              <w:rPr>
                <w:rFonts w:ascii="Times New Roman" w:eastAsia="標楷體" w:hAnsi="Times New Roman" w:cs="Times New Roman"/>
                <w:color w:val="000000" w:themeColor="text1"/>
                <w:szCs w:val="24"/>
              </w:rPr>
              <w:t>一</w:t>
            </w:r>
            <w:proofErr w:type="gramEnd"/>
            <w:r w:rsidRPr="00DE00E5">
              <w:rPr>
                <w:rFonts w:ascii="Times New Roman" w:eastAsia="標楷體" w:hAnsi="Times New Roman" w:cs="Times New Roman"/>
                <w:color w:val="000000" w:themeColor="text1"/>
                <w:szCs w:val="24"/>
              </w:rPr>
              <w:t>者，不在此限：</w:t>
            </w:r>
          </w:p>
          <w:p w14:paraId="76D5BD8A" w14:textId="77777777" w:rsidR="004C3E30" w:rsidRPr="00DE00E5" w:rsidRDefault="004C3E30" w:rsidP="004C3E30">
            <w:pPr>
              <w:pStyle w:val="a4"/>
              <w:numPr>
                <w:ilvl w:val="0"/>
                <w:numId w:val="1"/>
              </w:numPr>
              <w:ind w:leftChars="0"/>
              <w:jc w:val="both"/>
              <w:rPr>
                <w:rFonts w:ascii="Times New Roman" w:eastAsia="標楷體" w:hAnsi="Times New Roman" w:cs="Times New Roman"/>
                <w:color w:val="000000" w:themeColor="text1"/>
                <w:szCs w:val="24"/>
              </w:rPr>
            </w:pPr>
            <w:r w:rsidRPr="00DE00E5">
              <w:rPr>
                <w:rFonts w:ascii="Times New Roman" w:eastAsia="標楷體" w:hAnsi="Times New Roman" w:cs="Times New Roman"/>
                <w:color w:val="000000" w:themeColor="text1"/>
                <w:szCs w:val="24"/>
              </w:rPr>
              <w:t>學士班學生經碩士班入學考試列為備取生者，至遲應於接獲確定遞補錄取通知之翌日起五個工作日內提出。</w:t>
            </w:r>
          </w:p>
          <w:p w14:paraId="7509F47D" w14:textId="77777777" w:rsidR="004C3E30" w:rsidRPr="00DE00E5" w:rsidRDefault="004C3E30" w:rsidP="004C3E30">
            <w:pPr>
              <w:pStyle w:val="a4"/>
              <w:numPr>
                <w:ilvl w:val="0"/>
                <w:numId w:val="1"/>
              </w:numPr>
              <w:ind w:leftChars="0"/>
              <w:jc w:val="both"/>
              <w:rPr>
                <w:rFonts w:ascii="Times New Roman" w:eastAsia="標楷體" w:hAnsi="Times New Roman" w:cs="Times New Roman"/>
                <w:color w:val="000000" w:themeColor="text1"/>
                <w:szCs w:val="24"/>
              </w:rPr>
            </w:pPr>
            <w:r w:rsidRPr="00DE00E5">
              <w:rPr>
                <w:rFonts w:ascii="Times New Roman" w:eastAsia="標楷體" w:hAnsi="Times New Roman" w:cs="Times New Roman"/>
                <w:color w:val="000000" w:themeColor="text1"/>
                <w:szCs w:val="24"/>
              </w:rPr>
              <w:t>因所選科目成績不及格，導致無法取得跨領域學士學位畢業資格者，至遲應於該不及格科目成績上網公布之翌日起五個工作日內提出。</w:t>
            </w:r>
          </w:p>
          <w:p w14:paraId="1490C91B" w14:textId="779D9FD7" w:rsidR="004C3E30" w:rsidRPr="00DE00E5" w:rsidRDefault="004C3E30" w:rsidP="004C3E30">
            <w:pPr>
              <w:pStyle w:val="a4"/>
              <w:numPr>
                <w:ilvl w:val="0"/>
                <w:numId w:val="1"/>
              </w:numPr>
              <w:ind w:leftChars="0"/>
              <w:jc w:val="both"/>
              <w:rPr>
                <w:rFonts w:ascii="Times New Roman" w:eastAsia="標楷體" w:hAnsi="Times New Roman" w:cs="Times New Roman"/>
                <w:color w:val="000000" w:themeColor="text1"/>
                <w:szCs w:val="24"/>
              </w:rPr>
            </w:pPr>
            <w:r w:rsidRPr="00DE00E5">
              <w:rPr>
                <w:rFonts w:ascii="Times New Roman" w:eastAsia="標楷體" w:hAnsi="Times New Roman" w:cs="Times New Roman"/>
                <w:color w:val="000000" w:themeColor="text1"/>
                <w:szCs w:val="24"/>
              </w:rPr>
              <w:t>因其他特殊情況，檢具相關證明經通識中心同意者。</w:t>
            </w:r>
          </w:p>
          <w:p w14:paraId="5342E751" w14:textId="3B8E2F17" w:rsidR="004C3E30" w:rsidRPr="00DE00E5" w:rsidRDefault="004C3E30" w:rsidP="004C3E30">
            <w:pPr>
              <w:jc w:val="both"/>
              <w:rPr>
                <w:rFonts w:ascii="Times New Roman" w:eastAsia="標楷體" w:hAnsi="Times New Roman" w:cs="Times New Roman"/>
                <w:color w:val="000000" w:themeColor="text1"/>
                <w:sz w:val="20"/>
                <w:szCs w:val="20"/>
              </w:rPr>
            </w:pPr>
            <w:r w:rsidRPr="00DE00E5">
              <w:rPr>
                <w:rFonts w:ascii="Times New Roman" w:eastAsia="標楷體" w:hAnsi="Times New Roman" w:cs="Times New Roman"/>
                <w:color w:val="000000" w:themeColor="text1"/>
                <w:szCs w:val="24"/>
              </w:rPr>
              <w:t>學生經核准放棄</w:t>
            </w:r>
            <w:proofErr w:type="gramStart"/>
            <w:r w:rsidRPr="00DE00E5">
              <w:rPr>
                <w:rFonts w:ascii="Times New Roman" w:eastAsia="標楷體" w:hAnsi="Times New Roman" w:cs="Times New Roman"/>
                <w:color w:val="000000" w:themeColor="text1"/>
                <w:szCs w:val="24"/>
              </w:rPr>
              <w:t>修讀跨領域</w:t>
            </w:r>
            <w:proofErr w:type="gramEnd"/>
            <w:r w:rsidRPr="00DE00E5">
              <w:rPr>
                <w:rFonts w:ascii="Times New Roman" w:eastAsia="標楷體" w:hAnsi="Times New Roman" w:cs="Times New Roman"/>
                <w:color w:val="000000" w:themeColor="text1"/>
                <w:szCs w:val="24"/>
              </w:rPr>
              <w:t>學士學位後，不得要求回復已放棄之修讀資格。</w:t>
            </w:r>
          </w:p>
        </w:tc>
      </w:tr>
      <w:tr w:rsidR="00DE00E5" w:rsidRPr="00DE00E5" w14:paraId="716FCA37" w14:textId="77777777" w:rsidTr="00E85077">
        <w:tc>
          <w:tcPr>
            <w:tcW w:w="1129" w:type="dxa"/>
          </w:tcPr>
          <w:p w14:paraId="46F91CCC" w14:textId="625742EE" w:rsidR="004C3E30" w:rsidRPr="00DE00E5" w:rsidRDefault="004C3E30" w:rsidP="004C3E30">
            <w:pPr>
              <w:jc w:val="both"/>
              <w:rPr>
                <w:rFonts w:ascii="Times New Roman" w:eastAsia="標楷體" w:hAnsi="Times New Roman" w:cs="Times New Roman"/>
                <w:color w:val="000000" w:themeColor="text1"/>
                <w:sz w:val="20"/>
                <w:szCs w:val="20"/>
              </w:rPr>
            </w:pPr>
            <w:r w:rsidRPr="00DE00E5">
              <w:rPr>
                <w:rFonts w:ascii="Times New Roman" w:eastAsia="標楷體" w:hAnsi="Times New Roman" w:cs="Times New Roman"/>
                <w:color w:val="000000" w:themeColor="text1"/>
                <w:szCs w:val="24"/>
              </w:rPr>
              <w:t>第</w:t>
            </w:r>
            <w:r w:rsidR="006944BA" w:rsidRPr="00DE00E5">
              <w:rPr>
                <w:rFonts w:ascii="Times New Roman" w:eastAsia="標楷體" w:hAnsi="Times New Roman" w:cs="Times New Roman" w:hint="eastAsia"/>
                <w:color w:val="000000" w:themeColor="text1"/>
                <w:szCs w:val="24"/>
              </w:rPr>
              <w:t>8</w:t>
            </w:r>
            <w:r w:rsidRPr="00DE00E5">
              <w:rPr>
                <w:rFonts w:ascii="Times New Roman" w:eastAsia="標楷體" w:hAnsi="Times New Roman" w:cs="Times New Roman"/>
                <w:color w:val="000000" w:themeColor="text1"/>
                <w:szCs w:val="24"/>
              </w:rPr>
              <w:t>條</w:t>
            </w:r>
          </w:p>
        </w:tc>
        <w:tc>
          <w:tcPr>
            <w:tcW w:w="8499" w:type="dxa"/>
          </w:tcPr>
          <w:p w14:paraId="74BA0735" w14:textId="77777777" w:rsidR="004C3E30" w:rsidRPr="00DE00E5" w:rsidRDefault="004C3E30" w:rsidP="004C3E30">
            <w:pPr>
              <w:jc w:val="both"/>
              <w:rPr>
                <w:rFonts w:ascii="Times New Roman" w:eastAsia="標楷體" w:hAnsi="Times New Roman" w:cs="Times New Roman"/>
                <w:color w:val="000000" w:themeColor="text1"/>
                <w:szCs w:val="24"/>
              </w:rPr>
            </w:pPr>
            <w:r w:rsidRPr="00DE00E5">
              <w:rPr>
                <w:rFonts w:ascii="Times New Roman" w:eastAsia="標楷體" w:hAnsi="Times New Roman" w:cs="Times New Roman"/>
                <w:color w:val="000000" w:themeColor="text1"/>
                <w:szCs w:val="24"/>
              </w:rPr>
              <w:t>學生不得以放棄</w:t>
            </w:r>
            <w:proofErr w:type="gramStart"/>
            <w:r w:rsidRPr="00DE00E5">
              <w:rPr>
                <w:rFonts w:ascii="Times New Roman" w:eastAsia="標楷體" w:hAnsi="Times New Roman" w:cs="Times New Roman"/>
                <w:color w:val="000000" w:themeColor="text1"/>
                <w:szCs w:val="24"/>
              </w:rPr>
              <w:t>修讀跨領域</w:t>
            </w:r>
            <w:proofErr w:type="gramEnd"/>
            <w:r w:rsidRPr="00DE00E5">
              <w:rPr>
                <w:rFonts w:ascii="Times New Roman" w:eastAsia="標楷體" w:hAnsi="Times New Roman" w:cs="Times New Roman"/>
                <w:color w:val="000000" w:themeColor="text1"/>
                <w:szCs w:val="24"/>
              </w:rPr>
              <w:t>學士學位資格為由，於加退選</w:t>
            </w:r>
            <w:proofErr w:type="gramStart"/>
            <w:r w:rsidRPr="00DE00E5">
              <w:rPr>
                <w:rFonts w:ascii="Times New Roman" w:eastAsia="標楷體" w:hAnsi="Times New Roman" w:cs="Times New Roman"/>
                <w:color w:val="000000" w:themeColor="text1"/>
                <w:szCs w:val="24"/>
              </w:rPr>
              <w:t>或停修期限</w:t>
            </w:r>
            <w:proofErr w:type="gramEnd"/>
            <w:r w:rsidRPr="00DE00E5">
              <w:rPr>
                <w:rFonts w:ascii="Times New Roman" w:eastAsia="標楷體" w:hAnsi="Times New Roman" w:cs="Times New Roman"/>
                <w:color w:val="000000" w:themeColor="text1"/>
                <w:szCs w:val="24"/>
              </w:rPr>
              <w:t>截止後</w:t>
            </w:r>
            <w:r w:rsidRPr="00DE00E5">
              <w:rPr>
                <w:rFonts w:ascii="Times New Roman" w:eastAsia="新細明體" w:hAnsi="Times New Roman" w:cs="Times New Roman"/>
                <w:color w:val="000000" w:themeColor="text1"/>
                <w:szCs w:val="24"/>
              </w:rPr>
              <w:t>，</w:t>
            </w:r>
            <w:r w:rsidRPr="00DE00E5">
              <w:rPr>
                <w:rFonts w:ascii="Times New Roman" w:eastAsia="標楷體" w:hAnsi="Times New Roman" w:cs="Times New Roman"/>
                <w:color w:val="000000" w:themeColor="text1"/>
                <w:szCs w:val="24"/>
              </w:rPr>
              <w:t>要求補辦加退選、</w:t>
            </w:r>
            <w:proofErr w:type="gramStart"/>
            <w:r w:rsidRPr="00DE00E5">
              <w:rPr>
                <w:rFonts w:ascii="Times New Roman" w:eastAsia="標楷體" w:hAnsi="Times New Roman" w:cs="Times New Roman"/>
                <w:color w:val="000000" w:themeColor="text1"/>
                <w:szCs w:val="24"/>
              </w:rPr>
              <w:t>停修</w:t>
            </w:r>
            <w:proofErr w:type="gramEnd"/>
            <w:r w:rsidRPr="00DE00E5">
              <w:rPr>
                <w:rFonts w:ascii="Times New Roman" w:eastAsia="標楷體" w:hAnsi="Times New Roman" w:cs="Times New Roman"/>
                <w:color w:val="000000" w:themeColor="text1"/>
                <w:szCs w:val="24"/>
              </w:rPr>
              <w:t>。</w:t>
            </w:r>
          </w:p>
          <w:p w14:paraId="5DD28CC8" w14:textId="1418793B" w:rsidR="004C3E30" w:rsidRPr="00DE00E5" w:rsidRDefault="004C3E30" w:rsidP="004C3E30">
            <w:pPr>
              <w:jc w:val="both"/>
              <w:rPr>
                <w:rFonts w:ascii="Times New Roman" w:eastAsia="標楷體" w:hAnsi="Times New Roman" w:cs="Times New Roman"/>
                <w:color w:val="000000" w:themeColor="text1"/>
                <w:sz w:val="20"/>
                <w:szCs w:val="20"/>
              </w:rPr>
            </w:pPr>
            <w:r w:rsidRPr="00DE00E5">
              <w:rPr>
                <w:rFonts w:ascii="Times New Roman" w:eastAsia="標楷體" w:hAnsi="Times New Roman" w:cs="Times New Roman"/>
                <w:color w:val="000000" w:themeColor="text1"/>
                <w:szCs w:val="24"/>
              </w:rPr>
              <w:t>學生放棄</w:t>
            </w:r>
            <w:proofErr w:type="gramStart"/>
            <w:r w:rsidRPr="00DE00E5">
              <w:rPr>
                <w:rFonts w:ascii="Times New Roman" w:eastAsia="標楷體" w:hAnsi="Times New Roman" w:cs="Times New Roman"/>
                <w:color w:val="000000" w:themeColor="text1"/>
                <w:szCs w:val="24"/>
              </w:rPr>
              <w:t>修讀跨領域</w:t>
            </w:r>
            <w:proofErr w:type="gramEnd"/>
            <w:r w:rsidRPr="00DE00E5">
              <w:rPr>
                <w:rFonts w:ascii="Times New Roman" w:eastAsia="標楷體" w:hAnsi="Times New Roman" w:cs="Times New Roman"/>
                <w:color w:val="000000" w:themeColor="text1"/>
                <w:szCs w:val="24"/>
              </w:rPr>
              <w:t>學士學位資格後，已修習及格之跨領域學士學位科目學分是否</w:t>
            </w:r>
            <w:proofErr w:type="gramStart"/>
            <w:r w:rsidRPr="00DE00E5">
              <w:rPr>
                <w:rFonts w:ascii="Times New Roman" w:eastAsia="標楷體" w:hAnsi="Times New Roman" w:cs="Times New Roman"/>
                <w:color w:val="000000" w:themeColor="text1"/>
                <w:szCs w:val="24"/>
              </w:rPr>
              <w:t>採</w:t>
            </w:r>
            <w:proofErr w:type="gramEnd"/>
            <w:r w:rsidRPr="00DE00E5">
              <w:rPr>
                <w:rFonts w:ascii="Times New Roman" w:eastAsia="標楷體" w:hAnsi="Times New Roman" w:cs="Times New Roman"/>
                <w:color w:val="000000" w:themeColor="text1"/>
                <w:szCs w:val="24"/>
              </w:rPr>
              <w:t>計為原學系選修學分，由原學系主管認定。</w:t>
            </w:r>
          </w:p>
        </w:tc>
      </w:tr>
      <w:tr w:rsidR="00DE00E5" w:rsidRPr="00DE00E5" w14:paraId="226361DD" w14:textId="77777777" w:rsidTr="00E85077">
        <w:tc>
          <w:tcPr>
            <w:tcW w:w="1129" w:type="dxa"/>
          </w:tcPr>
          <w:p w14:paraId="1C46D381" w14:textId="0C93278F" w:rsidR="004C3E30" w:rsidRPr="00DE00E5" w:rsidRDefault="004C3E30" w:rsidP="004C3E30">
            <w:pPr>
              <w:jc w:val="both"/>
              <w:rPr>
                <w:rFonts w:ascii="Times New Roman" w:eastAsia="標楷體" w:hAnsi="Times New Roman" w:cs="Times New Roman"/>
                <w:color w:val="000000" w:themeColor="text1"/>
                <w:sz w:val="20"/>
                <w:szCs w:val="20"/>
              </w:rPr>
            </w:pPr>
            <w:r w:rsidRPr="00DE00E5">
              <w:rPr>
                <w:rFonts w:ascii="Times New Roman" w:eastAsia="標楷體" w:hAnsi="Times New Roman" w:cs="Times New Roman"/>
                <w:color w:val="000000" w:themeColor="text1"/>
                <w:szCs w:val="24"/>
              </w:rPr>
              <w:t>第</w:t>
            </w:r>
            <w:r w:rsidR="006944BA" w:rsidRPr="00DE00E5">
              <w:rPr>
                <w:rFonts w:ascii="Times New Roman" w:eastAsia="標楷體" w:hAnsi="Times New Roman" w:cs="Times New Roman" w:hint="eastAsia"/>
                <w:color w:val="000000" w:themeColor="text1"/>
                <w:szCs w:val="24"/>
              </w:rPr>
              <w:t>9</w:t>
            </w:r>
            <w:r w:rsidRPr="00DE00E5">
              <w:rPr>
                <w:rFonts w:ascii="Times New Roman" w:eastAsia="標楷體" w:hAnsi="Times New Roman" w:cs="Times New Roman"/>
                <w:color w:val="000000" w:themeColor="text1"/>
                <w:szCs w:val="24"/>
              </w:rPr>
              <w:t>條</w:t>
            </w:r>
          </w:p>
        </w:tc>
        <w:tc>
          <w:tcPr>
            <w:tcW w:w="8499" w:type="dxa"/>
          </w:tcPr>
          <w:p w14:paraId="642CB688" w14:textId="021DD024" w:rsidR="004C3E30" w:rsidRPr="00DE00E5" w:rsidRDefault="004C3E30" w:rsidP="004C3E30">
            <w:pPr>
              <w:jc w:val="both"/>
              <w:rPr>
                <w:rFonts w:ascii="Times New Roman" w:eastAsia="標楷體" w:hAnsi="Times New Roman" w:cs="Times New Roman"/>
                <w:color w:val="000000" w:themeColor="text1"/>
                <w:sz w:val="20"/>
                <w:szCs w:val="20"/>
              </w:rPr>
            </w:pPr>
            <w:r w:rsidRPr="00DE00E5">
              <w:rPr>
                <w:rFonts w:ascii="Times New Roman" w:eastAsia="標楷體" w:hAnsi="Times New Roman" w:cs="Times New Roman"/>
                <w:color w:val="000000" w:themeColor="text1"/>
                <w:szCs w:val="24"/>
              </w:rPr>
              <w:t>學生</w:t>
            </w:r>
            <w:proofErr w:type="gramStart"/>
            <w:r w:rsidRPr="00DE00E5">
              <w:rPr>
                <w:rFonts w:ascii="Times New Roman" w:eastAsia="標楷體" w:hAnsi="Times New Roman" w:cs="Times New Roman"/>
                <w:color w:val="000000" w:themeColor="text1"/>
                <w:szCs w:val="24"/>
              </w:rPr>
              <w:t>修讀跨領域</w:t>
            </w:r>
            <w:proofErr w:type="gramEnd"/>
            <w:r w:rsidRPr="00DE00E5">
              <w:rPr>
                <w:rFonts w:ascii="Times New Roman" w:eastAsia="標楷體" w:hAnsi="Times New Roman" w:cs="Times New Roman"/>
                <w:color w:val="000000" w:themeColor="text1"/>
                <w:szCs w:val="24"/>
              </w:rPr>
              <w:t>學士學位，於延長修業年限</w:t>
            </w:r>
            <w:proofErr w:type="gramStart"/>
            <w:r w:rsidRPr="00DE00E5">
              <w:rPr>
                <w:rFonts w:ascii="Times New Roman" w:eastAsia="標楷體" w:hAnsi="Times New Roman" w:cs="Times New Roman"/>
                <w:color w:val="000000" w:themeColor="text1"/>
                <w:szCs w:val="24"/>
              </w:rPr>
              <w:t>期間，</w:t>
            </w:r>
            <w:proofErr w:type="gramEnd"/>
            <w:r w:rsidRPr="00DE00E5">
              <w:rPr>
                <w:rFonts w:ascii="Times New Roman" w:eastAsia="標楷體" w:hAnsi="Times New Roman" w:cs="Times New Roman"/>
                <w:color w:val="000000" w:themeColor="text1"/>
                <w:szCs w:val="24"/>
              </w:rPr>
              <w:t>不及格學分數達退學規定者，如已修畢原學系應修畢業學分，本校將取消其</w:t>
            </w:r>
            <w:proofErr w:type="gramStart"/>
            <w:r w:rsidRPr="00DE00E5">
              <w:rPr>
                <w:rFonts w:ascii="Times New Roman" w:eastAsia="標楷體" w:hAnsi="Times New Roman" w:cs="Times New Roman"/>
                <w:color w:val="000000" w:themeColor="text1"/>
                <w:szCs w:val="24"/>
              </w:rPr>
              <w:t>修讀跨領域</w:t>
            </w:r>
            <w:proofErr w:type="gramEnd"/>
            <w:r w:rsidRPr="00DE00E5">
              <w:rPr>
                <w:rFonts w:ascii="Times New Roman" w:eastAsia="標楷體" w:hAnsi="Times New Roman" w:cs="Times New Roman"/>
                <w:color w:val="000000" w:themeColor="text1"/>
                <w:szCs w:val="24"/>
              </w:rPr>
              <w:t>學士學位資格，其以原學系資格畢業；如已</w:t>
            </w:r>
            <w:proofErr w:type="gramStart"/>
            <w:r w:rsidRPr="00DE00E5">
              <w:rPr>
                <w:rFonts w:ascii="Times New Roman" w:eastAsia="標楷體" w:hAnsi="Times New Roman" w:cs="Times New Roman"/>
                <w:color w:val="000000" w:themeColor="text1"/>
                <w:szCs w:val="24"/>
              </w:rPr>
              <w:t>修畢跨領域</w:t>
            </w:r>
            <w:proofErr w:type="gramEnd"/>
            <w:r w:rsidRPr="00DE00E5">
              <w:rPr>
                <w:rFonts w:ascii="Times New Roman" w:eastAsia="標楷體" w:hAnsi="Times New Roman" w:cs="Times New Roman"/>
                <w:color w:val="000000" w:themeColor="text1"/>
                <w:szCs w:val="24"/>
              </w:rPr>
              <w:t>學士學位應修畢業學分，以跨領域學士學位資格畢業。</w:t>
            </w:r>
          </w:p>
        </w:tc>
      </w:tr>
      <w:tr w:rsidR="00DE00E5" w:rsidRPr="00DE00E5" w14:paraId="285D3658" w14:textId="77777777" w:rsidTr="00E85077">
        <w:tc>
          <w:tcPr>
            <w:tcW w:w="1129" w:type="dxa"/>
          </w:tcPr>
          <w:p w14:paraId="7F047ABD" w14:textId="26EB3EAC" w:rsidR="004C3E30" w:rsidRPr="00DE00E5" w:rsidRDefault="004C3E30" w:rsidP="004C3E30">
            <w:pPr>
              <w:jc w:val="both"/>
              <w:rPr>
                <w:rFonts w:ascii="Times New Roman" w:eastAsia="標楷體" w:hAnsi="Times New Roman" w:cs="Times New Roman"/>
                <w:color w:val="000000" w:themeColor="text1"/>
                <w:sz w:val="20"/>
                <w:szCs w:val="20"/>
              </w:rPr>
            </w:pPr>
            <w:r w:rsidRPr="00DE00E5">
              <w:rPr>
                <w:rFonts w:ascii="Times New Roman" w:eastAsia="標楷體" w:hAnsi="Times New Roman" w:cs="Times New Roman"/>
                <w:color w:val="000000" w:themeColor="text1"/>
                <w:szCs w:val="24"/>
              </w:rPr>
              <w:t>第</w:t>
            </w:r>
            <w:r w:rsidRPr="00DE00E5">
              <w:rPr>
                <w:rFonts w:ascii="Times New Roman" w:eastAsia="標楷體" w:hAnsi="Times New Roman" w:cs="Times New Roman"/>
                <w:color w:val="000000" w:themeColor="text1"/>
                <w:szCs w:val="24"/>
              </w:rPr>
              <w:t>1</w:t>
            </w:r>
            <w:r w:rsidR="006944BA" w:rsidRPr="00DE00E5">
              <w:rPr>
                <w:rFonts w:ascii="Times New Roman" w:eastAsia="標楷體" w:hAnsi="Times New Roman" w:cs="Times New Roman" w:hint="eastAsia"/>
                <w:color w:val="000000" w:themeColor="text1"/>
                <w:szCs w:val="24"/>
              </w:rPr>
              <w:t>0</w:t>
            </w:r>
            <w:r w:rsidRPr="00DE00E5">
              <w:rPr>
                <w:rFonts w:ascii="Times New Roman" w:eastAsia="標楷體" w:hAnsi="Times New Roman" w:cs="Times New Roman"/>
                <w:color w:val="000000" w:themeColor="text1"/>
                <w:szCs w:val="24"/>
              </w:rPr>
              <w:t>條</w:t>
            </w:r>
          </w:p>
        </w:tc>
        <w:tc>
          <w:tcPr>
            <w:tcW w:w="8499" w:type="dxa"/>
          </w:tcPr>
          <w:p w14:paraId="69E59A4C" w14:textId="7F0E55F8" w:rsidR="004C3E30" w:rsidRPr="00DE00E5" w:rsidRDefault="004C3E30" w:rsidP="004C3E30">
            <w:pPr>
              <w:jc w:val="both"/>
              <w:rPr>
                <w:rFonts w:ascii="Times New Roman" w:eastAsia="標楷體" w:hAnsi="Times New Roman" w:cs="Times New Roman"/>
                <w:color w:val="000000" w:themeColor="text1"/>
                <w:sz w:val="20"/>
                <w:szCs w:val="20"/>
              </w:rPr>
            </w:pPr>
            <w:r w:rsidRPr="00DE00E5">
              <w:rPr>
                <w:rFonts w:ascii="Times New Roman" w:eastAsia="標楷體" w:hAnsi="Times New Roman" w:cs="Times New Roman"/>
                <w:color w:val="000000" w:themeColor="text1"/>
                <w:szCs w:val="24"/>
              </w:rPr>
              <w:t>學生</w:t>
            </w:r>
            <w:proofErr w:type="gramStart"/>
            <w:r w:rsidRPr="00DE00E5">
              <w:rPr>
                <w:rFonts w:ascii="Times New Roman" w:eastAsia="標楷體" w:hAnsi="Times New Roman" w:cs="Times New Roman"/>
                <w:color w:val="000000" w:themeColor="text1"/>
                <w:szCs w:val="24"/>
              </w:rPr>
              <w:t>修讀跨領域</w:t>
            </w:r>
            <w:proofErr w:type="gramEnd"/>
            <w:r w:rsidRPr="00DE00E5">
              <w:rPr>
                <w:rFonts w:ascii="Times New Roman" w:eastAsia="標楷體" w:hAnsi="Times New Roman" w:cs="Times New Roman"/>
                <w:color w:val="000000" w:themeColor="text1"/>
                <w:szCs w:val="24"/>
              </w:rPr>
              <w:t>學士學位，經延長修業年限二年屆滿，已修畢原學系之應修科目與學分，而未</w:t>
            </w:r>
            <w:proofErr w:type="gramStart"/>
            <w:r w:rsidRPr="00DE00E5">
              <w:rPr>
                <w:rFonts w:ascii="Times New Roman" w:eastAsia="標楷體" w:hAnsi="Times New Roman" w:cs="Times New Roman"/>
                <w:color w:val="000000" w:themeColor="text1"/>
                <w:szCs w:val="24"/>
              </w:rPr>
              <w:t>修畢跨領域</w:t>
            </w:r>
            <w:proofErr w:type="gramEnd"/>
            <w:r w:rsidRPr="00DE00E5">
              <w:rPr>
                <w:rFonts w:ascii="Times New Roman" w:eastAsia="標楷體" w:hAnsi="Times New Roman" w:cs="Times New Roman"/>
                <w:color w:val="000000" w:themeColor="text1"/>
                <w:szCs w:val="24"/>
              </w:rPr>
              <w:t>學士學位應修科目與學分者，得再延長修業年限一學期或</w:t>
            </w:r>
            <w:proofErr w:type="gramStart"/>
            <w:r w:rsidRPr="00DE00E5">
              <w:rPr>
                <w:rFonts w:ascii="Times New Roman" w:eastAsia="標楷體" w:hAnsi="Times New Roman" w:cs="Times New Roman"/>
                <w:color w:val="000000" w:themeColor="text1"/>
                <w:szCs w:val="24"/>
              </w:rPr>
              <w:t>一</w:t>
            </w:r>
            <w:proofErr w:type="gramEnd"/>
            <w:r w:rsidRPr="00DE00E5">
              <w:rPr>
                <w:rFonts w:ascii="Times New Roman" w:eastAsia="標楷體" w:hAnsi="Times New Roman" w:cs="Times New Roman"/>
                <w:color w:val="000000" w:themeColor="text1"/>
                <w:szCs w:val="24"/>
              </w:rPr>
              <w:t>學年，如仍未能</w:t>
            </w:r>
            <w:proofErr w:type="gramStart"/>
            <w:r w:rsidRPr="00DE00E5">
              <w:rPr>
                <w:rFonts w:ascii="Times New Roman" w:eastAsia="標楷體" w:hAnsi="Times New Roman" w:cs="Times New Roman"/>
                <w:color w:val="000000" w:themeColor="text1"/>
                <w:szCs w:val="24"/>
              </w:rPr>
              <w:t>修畢跨領域</w:t>
            </w:r>
            <w:proofErr w:type="gramEnd"/>
            <w:r w:rsidRPr="00DE00E5">
              <w:rPr>
                <w:rFonts w:ascii="Times New Roman" w:eastAsia="標楷體" w:hAnsi="Times New Roman" w:cs="Times New Roman"/>
                <w:color w:val="000000" w:themeColor="text1"/>
                <w:szCs w:val="24"/>
              </w:rPr>
              <w:t>學士學位應修科目與學分者，以原學系資格畢業。</w:t>
            </w:r>
          </w:p>
        </w:tc>
      </w:tr>
      <w:tr w:rsidR="00DE00E5" w:rsidRPr="00DE00E5" w14:paraId="17912965" w14:textId="77777777" w:rsidTr="00E85077">
        <w:tc>
          <w:tcPr>
            <w:tcW w:w="1129" w:type="dxa"/>
          </w:tcPr>
          <w:p w14:paraId="284810B2" w14:textId="2EFC8B1D" w:rsidR="004C3E30" w:rsidRPr="00DE00E5" w:rsidRDefault="004C3E30" w:rsidP="004C3E30">
            <w:pPr>
              <w:jc w:val="both"/>
              <w:rPr>
                <w:rFonts w:ascii="Times New Roman" w:eastAsia="標楷體" w:hAnsi="Times New Roman" w:cs="Times New Roman"/>
                <w:color w:val="000000" w:themeColor="text1"/>
                <w:sz w:val="20"/>
                <w:szCs w:val="20"/>
              </w:rPr>
            </w:pPr>
            <w:r w:rsidRPr="00DE00E5">
              <w:rPr>
                <w:rFonts w:ascii="Times New Roman" w:eastAsia="標楷體" w:hAnsi="Times New Roman" w:cs="Times New Roman"/>
                <w:color w:val="000000" w:themeColor="text1"/>
                <w:szCs w:val="24"/>
              </w:rPr>
              <w:t>第</w:t>
            </w:r>
            <w:r w:rsidRPr="00DE00E5">
              <w:rPr>
                <w:rFonts w:ascii="Times New Roman" w:eastAsia="標楷體" w:hAnsi="Times New Roman" w:cs="Times New Roman"/>
                <w:color w:val="000000" w:themeColor="text1"/>
                <w:szCs w:val="24"/>
              </w:rPr>
              <w:t>1</w:t>
            </w:r>
            <w:r w:rsidR="006944BA" w:rsidRPr="00DE00E5">
              <w:rPr>
                <w:rFonts w:ascii="Times New Roman" w:eastAsia="標楷體" w:hAnsi="Times New Roman" w:cs="Times New Roman" w:hint="eastAsia"/>
                <w:color w:val="000000" w:themeColor="text1"/>
                <w:szCs w:val="24"/>
              </w:rPr>
              <w:t>1</w:t>
            </w:r>
            <w:r w:rsidRPr="00DE00E5">
              <w:rPr>
                <w:rFonts w:ascii="Times New Roman" w:eastAsia="標楷體" w:hAnsi="Times New Roman" w:cs="Times New Roman"/>
                <w:color w:val="000000" w:themeColor="text1"/>
                <w:szCs w:val="24"/>
              </w:rPr>
              <w:t>條</w:t>
            </w:r>
          </w:p>
        </w:tc>
        <w:tc>
          <w:tcPr>
            <w:tcW w:w="8499" w:type="dxa"/>
          </w:tcPr>
          <w:p w14:paraId="6FB54125" w14:textId="38FF0FA5" w:rsidR="004C3E30" w:rsidRPr="00DE00E5" w:rsidRDefault="004C3E30" w:rsidP="004C3E30">
            <w:pPr>
              <w:jc w:val="both"/>
              <w:rPr>
                <w:rFonts w:ascii="Times New Roman" w:eastAsia="標楷體" w:hAnsi="Times New Roman" w:cs="Times New Roman"/>
                <w:color w:val="000000" w:themeColor="text1"/>
                <w:sz w:val="20"/>
                <w:szCs w:val="20"/>
              </w:rPr>
            </w:pPr>
            <w:r w:rsidRPr="00DE00E5">
              <w:rPr>
                <w:rFonts w:ascii="Times New Roman" w:eastAsia="標楷體" w:hAnsi="Times New Roman" w:cs="Times New Roman"/>
                <w:color w:val="000000" w:themeColor="text1"/>
                <w:szCs w:val="24"/>
              </w:rPr>
              <w:t>學生</w:t>
            </w:r>
            <w:proofErr w:type="gramStart"/>
            <w:r w:rsidRPr="00DE00E5">
              <w:rPr>
                <w:rFonts w:ascii="Times New Roman" w:eastAsia="標楷體" w:hAnsi="Times New Roman" w:cs="Times New Roman"/>
                <w:color w:val="000000" w:themeColor="text1"/>
                <w:szCs w:val="24"/>
              </w:rPr>
              <w:t>修讀跨領域</w:t>
            </w:r>
            <w:proofErr w:type="gramEnd"/>
            <w:r w:rsidRPr="00DE00E5">
              <w:rPr>
                <w:rFonts w:ascii="Times New Roman" w:eastAsia="標楷體" w:hAnsi="Times New Roman" w:cs="Times New Roman"/>
                <w:color w:val="000000" w:themeColor="text1"/>
                <w:szCs w:val="24"/>
              </w:rPr>
              <w:t>學士學位之歷年成績</w:t>
            </w:r>
            <w:r w:rsidR="00637658" w:rsidRPr="00DE00E5">
              <w:rPr>
                <w:rFonts w:ascii="Times New Roman" w:eastAsia="標楷體" w:hAnsi="Times New Roman" w:cs="Times New Roman" w:hint="eastAsia"/>
                <w:color w:val="000000" w:themeColor="text1"/>
                <w:szCs w:val="24"/>
              </w:rPr>
              <w:t>單</w:t>
            </w:r>
            <w:r w:rsidRPr="00DE00E5">
              <w:rPr>
                <w:rFonts w:ascii="Times New Roman" w:eastAsia="標楷體" w:hAnsi="Times New Roman" w:cs="Times New Roman"/>
                <w:color w:val="000000" w:themeColor="text1"/>
                <w:szCs w:val="24"/>
              </w:rPr>
              <w:t>及相關證明文件，均註明跨領域學士學位及修讀領域名稱。但放棄修讀資格或退學者，不予註記。</w:t>
            </w:r>
          </w:p>
        </w:tc>
      </w:tr>
      <w:tr w:rsidR="00DE00E5" w:rsidRPr="00DE00E5" w14:paraId="4E808E6F" w14:textId="77777777" w:rsidTr="00E85077">
        <w:tc>
          <w:tcPr>
            <w:tcW w:w="1129" w:type="dxa"/>
          </w:tcPr>
          <w:p w14:paraId="366CD92C" w14:textId="07B1B871" w:rsidR="004C3E30" w:rsidRPr="00DE00E5" w:rsidRDefault="004C3E30" w:rsidP="004C3E30">
            <w:pPr>
              <w:jc w:val="both"/>
              <w:rPr>
                <w:rFonts w:ascii="Times New Roman" w:eastAsia="標楷體" w:hAnsi="Times New Roman" w:cs="Times New Roman"/>
                <w:color w:val="000000" w:themeColor="text1"/>
                <w:sz w:val="20"/>
                <w:szCs w:val="20"/>
              </w:rPr>
            </w:pPr>
            <w:r w:rsidRPr="00DE00E5">
              <w:rPr>
                <w:rFonts w:ascii="Times New Roman" w:eastAsia="標楷體" w:hAnsi="Times New Roman" w:cs="Times New Roman"/>
                <w:color w:val="000000" w:themeColor="text1"/>
                <w:szCs w:val="24"/>
              </w:rPr>
              <w:t>第</w:t>
            </w:r>
            <w:r w:rsidRPr="00DE00E5">
              <w:rPr>
                <w:rFonts w:ascii="Times New Roman" w:eastAsia="標楷體" w:hAnsi="Times New Roman" w:cs="Times New Roman"/>
                <w:color w:val="000000" w:themeColor="text1"/>
                <w:szCs w:val="24"/>
              </w:rPr>
              <w:t>1</w:t>
            </w:r>
            <w:r w:rsidR="006944BA" w:rsidRPr="00DE00E5">
              <w:rPr>
                <w:rFonts w:ascii="Times New Roman" w:eastAsia="標楷體" w:hAnsi="Times New Roman" w:cs="Times New Roman" w:hint="eastAsia"/>
                <w:color w:val="000000" w:themeColor="text1"/>
                <w:szCs w:val="24"/>
              </w:rPr>
              <w:t>2</w:t>
            </w:r>
            <w:r w:rsidRPr="00DE00E5">
              <w:rPr>
                <w:rFonts w:ascii="Times New Roman" w:eastAsia="標楷體" w:hAnsi="Times New Roman" w:cs="Times New Roman"/>
                <w:color w:val="000000" w:themeColor="text1"/>
                <w:szCs w:val="24"/>
              </w:rPr>
              <w:t>條</w:t>
            </w:r>
          </w:p>
        </w:tc>
        <w:tc>
          <w:tcPr>
            <w:tcW w:w="8499" w:type="dxa"/>
          </w:tcPr>
          <w:p w14:paraId="08D42AF4" w14:textId="2F887B11" w:rsidR="004C3E30" w:rsidRPr="00DE00E5" w:rsidRDefault="004C3E30" w:rsidP="004C3E30">
            <w:pPr>
              <w:jc w:val="both"/>
              <w:rPr>
                <w:rFonts w:ascii="Times New Roman" w:eastAsia="標楷體" w:hAnsi="Times New Roman" w:cs="Times New Roman"/>
                <w:color w:val="000000" w:themeColor="text1"/>
                <w:sz w:val="20"/>
                <w:szCs w:val="20"/>
              </w:rPr>
            </w:pPr>
            <w:r w:rsidRPr="00DE00E5">
              <w:rPr>
                <w:rFonts w:ascii="Times New Roman" w:eastAsia="標楷體" w:hAnsi="Times New Roman" w:cs="Times New Roman"/>
                <w:color w:val="000000" w:themeColor="text1"/>
                <w:szCs w:val="24"/>
              </w:rPr>
              <w:t>本校於每年四月與十一月受理學生當學期之跨領域學士學位畢業資格審查，經通識中心與教務處審查通過後，由教務處製發學位證書。</w:t>
            </w:r>
          </w:p>
        </w:tc>
      </w:tr>
      <w:tr w:rsidR="004C3E30" w:rsidRPr="00DE00E5" w14:paraId="3E7F5330" w14:textId="77777777" w:rsidTr="00E85077">
        <w:tc>
          <w:tcPr>
            <w:tcW w:w="1129" w:type="dxa"/>
          </w:tcPr>
          <w:p w14:paraId="7BB7CBB7" w14:textId="62553E95" w:rsidR="004C3E30" w:rsidRPr="00DE00E5" w:rsidRDefault="004C3E30" w:rsidP="004C3E30">
            <w:pPr>
              <w:jc w:val="both"/>
              <w:rPr>
                <w:rFonts w:ascii="Times New Roman" w:eastAsia="標楷體" w:hAnsi="Times New Roman" w:cs="Times New Roman"/>
                <w:color w:val="000000" w:themeColor="text1"/>
                <w:sz w:val="20"/>
                <w:szCs w:val="20"/>
              </w:rPr>
            </w:pPr>
            <w:r w:rsidRPr="00DE00E5">
              <w:rPr>
                <w:rFonts w:ascii="Times New Roman" w:eastAsia="標楷體" w:hAnsi="Times New Roman" w:cs="Times New Roman"/>
                <w:color w:val="000000" w:themeColor="text1"/>
                <w:szCs w:val="24"/>
              </w:rPr>
              <w:t>第</w:t>
            </w:r>
            <w:r w:rsidRPr="00DE00E5">
              <w:rPr>
                <w:rFonts w:ascii="Times New Roman" w:eastAsia="標楷體" w:hAnsi="Times New Roman" w:cs="Times New Roman"/>
                <w:color w:val="000000" w:themeColor="text1"/>
                <w:szCs w:val="24"/>
              </w:rPr>
              <w:t>1</w:t>
            </w:r>
            <w:r w:rsidR="006944BA" w:rsidRPr="00DE00E5">
              <w:rPr>
                <w:rFonts w:ascii="Times New Roman" w:eastAsia="標楷體" w:hAnsi="Times New Roman" w:cs="Times New Roman" w:hint="eastAsia"/>
                <w:color w:val="000000" w:themeColor="text1"/>
                <w:szCs w:val="24"/>
              </w:rPr>
              <w:t>3</w:t>
            </w:r>
            <w:r w:rsidRPr="00DE00E5">
              <w:rPr>
                <w:rFonts w:ascii="Times New Roman" w:eastAsia="標楷體" w:hAnsi="Times New Roman" w:cs="Times New Roman"/>
                <w:color w:val="000000" w:themeColor="text1"/>
                <w:szCs w:val="24"/>
              </w:rPr>
              <w:t>條</w:t>
            </w:r>
          </w:p>
        </w:tc>
        <w:tc>
          <w:tcPr>
            <w:tcW w:w="8499" w:type="dxa"/>
          </w:tcPr>
          <w:p w14:paraId="550F1401" w14:textId="32F28157" w:rsidR="004C3E30" w:rsidRPr="00DE00E5" w:rsidRDefault="004C3E30" w:rsidP="004C3E30">
            <w:pPr>
              <w:jc w:val="both"/>
              <w:rPr>
                <w:rFonts w:ascii="Times New Roman" w:eastAsia="標楷體" w:hAnsi="Times New Roman" w:cs="Times New Roman"/>
                <w:color w:val="000000" w:themeColor="text1"/>
                <w:sz w:val="20"/>
                <w:szCs w:val="20"/>
              </w:rPr>
            </w:pPr>
            <w:r w:rsidRPr="00DE00E5">
              <w:rPr>
                <w:rFonts w:ascii="Times New Roman" w:eastAsia="標楷體" w:hAnsi="Times New Roman" w:cs="Times New Roman"/>
                <w:color w:val="000000" w:themeColor="text1"/>
                <w:szCs w:val="24"/>
              </w:rPr>
              <w:t>本辦法經通識教育</w:t>
            </w:r>
            <w:proofErr w:type="gramStart"/>
            <w:r w:rsidRPr="00DE00E5">
              <w:rPr>
                <w:rFonts w:ascii="Times New Roman" w:eastAsia="標楷體" w:hAnsi="Times New Roman" w:cs="Times New Roman"/>
                <w:color w:val="000000" w:themeColor="text1"/>
                <w:szCs w:val="24"/>
              </w:rPr>
              <w:t>中心中</w:t>
            </w:r>
            <w:r w:rsidRPr="00D8350E">
              <w:rPr>
                <w:rFonts w:ascii="Times New Roman" w:eastAsia="標楷體" w:hAnsi="Times New Roman" w:cs="Times New Roman"/>
                <w:color w:val="000000" w:themeColor="text1"/>
                <w:szCs w:val="24"/>
              </w:rPr>
              <w:t>心</w:t>
            </w:r>
            <w:proofErr w:type="gramEnd"/>
            <w:r w:rsidRPr="00D8350E">
              <w:rPr>
                <w:rFonts w:ascii="Times New Roman" w:eastAsia="標楷體" w:hAnsi="Times New Roman" w:cs="Times New Roman"/>
                <w:color w:val="000000" w:themeColor="text1"/>
                <w:szCs w:val="24"/>
              </w:rPr>
              <w:t>會議及教務會議通過後，自公布日</w:t>
            </w:r>
            <w:r w:rsidR="00424A07" w:rsidRPr="00D8350E">
              <w:rPr>
                <w:rFonts w:ascii="Times New Roman" w:eastAsia="標楷體" w:hAnsi="Times New Roman" w:cs="Times New Roman" w:hint="eastAsia"/>
                <w:color w:val="000000" w:themeColor="text1"/>
                <w:szCs w:val="24"/>
              </w:rPr>
              <w:t>起實施</w:t>
            </w:r>
            <w:r w:rsidRPr="00D8350E">
              <w:rPr>
                <w:rFonts w:ascii="Times New Roman" w:eastAsia="新細明體" w:hAnsi="Times New Roman" w:cs="Times New Roman"/>
                <w:color w:val="000000" w:themeColor="text1"/>
                <w:szCs w:val="24"/>
              </w:rPr>
              <w:t>，</w:t>
            </w:r>
            <w:r w:rsidRPr="00DE00E5">
              <w:rPr>
                <w:rFonts w:ascii="Times New Roman" w:eastAsia="標楷體" w:hAnsi="Times New Roman" w:cs="Times New Roman"/>
                <w:color w:val="000000" w:themeColor="text1"/>
                <w:szCs w:val="24"/>
              </w:rPr>
              <w:t>修正時亦同。</w:t>
            </w:r>
          </w:p>
        </w:tc>
      </w:tr>
    </w:tbl>
    <w:p w14:paraId="05C3EF2F" w14:textId="77777777" w:rsidR="004C3E30" w:rsidRPr="00DE00E5" w:rsidRDefault="004C3E30" w:rsidP="004C3E30">
      <w:pPr>
        <w:jc w:val="both"/>
        <w:rPr>
          <w:rFonts w:ascii="Times New Roman" w:eastAsia="標楷體" w:hAnsi="Times New Roman" w:cs="Times New Roman" w:hint="eastAsia"/>
          <w:color w:val="000000" w:themeColor="text1"/>
          <w:sz w:val="20"/>
          <w:szCs w:val="20"/>
        </w:rPr>
      </w:pPr>
    </w:p>
    <w:sectPr w:rsidR="004C3E30" w:rsidRPr="00DE00E5" w:rsidSect="006C74C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A3AAD" w14:textId="77777777" w:rsidR="00E50B04" w:rsidRDefault="00E50B04" w:rsidP="00EB2FC1">
      <w:r>
        <w:separator/>
      </w:r>
    </w:p>
  </w:endnote>
  <w:endnote w:type="continuationSeparator" w:id="0">
    <w:p w14:paraId="2E023142" w14:textId="77777777" w:rsidR="00E50B04" w:rsidRDefault="00E50B04" w:rsidP="00EB2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F60D6" w14:textId="77777777" w:rsidR="00E50B04" w:rsidRDefault="00E50B04" w:rsidP="00EB2FC1">
      <w:r>
        <w:separator/>
      </w:r>
    </w:p>
  </w:footnote>
  <w:footnote w:type="continuationSeparator" w:id="0">
    <w:p w14:paraId="4200A69D" w14:textId="77777777" w:rsidR="00E50B04" w:rsidRDefault="00E50B04" w:rsidP="00EB2F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D606B"/>
    <w:multiLevelType w:val="hybridMultilevel"/>
    <w:tmpl w:val="5184867C"/>
    <w:lvl w:ilvl="0" w:tplc="223CB78E">
      <w:start w:val="1"/>
      <w:numFmt w:val="taiwaneseCountingThousand"/>
      <w:lvlText w:val="（%1）"/>
      <w:lvlJc w:val="left"/>
      <w:pPr>
        <w:ind w:left="1196" w:hanging="720"/>
      </w:pPr>
      <w:rPr>
        <w:rFonts w:hint="default"/>
      </w:r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1" w15:restartNumberingAfterBreak="0">
    <w:nsid w:val="564F5DD6"/>
    <w:multiLevelType w:val="hybridMultilevel"/>
    <w:tmpl w:val="4378DC8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ADB3493"/>
    <w:multiLevelType w:val="hybridMultilevel"/>
    <w:tmpl w:val="5CB02E7E"/>
    <w:lvl w:ilvl="0" w:tplc="4ED479A0">
      <w:start w:val="1"/>
      <w:numFmt w:val="taiwaneseCountingThousand"/>
      <w:lvlText w:val="%1、"/>
      <w:lvlJc w:val="left"/>
      <w:pPr>
        <w:ind w:left="426" w:hanging="42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DF07053"/>
    <w:multiLevelType w:val="hybridMultilevel"/>
    <w:tmpl w:val="C37E35E6"/>
    <w:lvl w:ilvl="0" w:tplc="0409000F">
      <w:start w:val="1"/>
      <w:numFmt w:val="decimal"/>
      <w:lvlText w:val="%1."/>
      <w:lvlJc w:val="left"/>
      <w:pPr>
        <w:ind w:left="956" w:hanging="480"/>
      </w:p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4" w15:restartNumberingAfterBreak="0">
    <w:nsid w:val="72A164F3"/>
    <w:multiLevelType w:val="hybridMultilevel"/>
    <w:tmpl w:val="9D1CE61A"/>
    <w:lvl w:ilvl="0" w:tplc="9A30BF5C">
      <w:start w:val="1"/>
      <w:numFmt w:val="taiwaneseCountingThousand"/>
      <w:lvlText w:val="（%1）"/>
      <w:lvlJc w:val="left"/>
      <w:pPr>
        <w:ind w:left="1196" w:hanging="720"/>
      </w:pPr>
      <w:rPr>
        <w:rFonts w:eastAsia="標楷體" w:hint="default"/>
      </w:r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num w:numId="1" w16cid:durableId="371655930">
    <w:abstractNumId w:val="1"/>
  </w:num>
  <w:num w:numId="2" w16cid:durableId="1219048927">
    <w:abstractNumId w:val="2"/>
  </w:num>
  <w:num w:numId="3" w16cid:durableId="918753612">
    <w:abstractNumId w:val="3"/>
  </w:num>
  <w:num w:numId="4" w16cid:durableId="234828703">
    <w:abstractNumId w:val="0"/>
  </w:num>
  <w:num w:numId="5" w16cid:durableId="16207988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567"/>
    <w:rsid w:val="00006BB0"/>
    <w:rsid w:val="00031567"/>
    <w:rsid w:val="00063C89"/>
    <w:rsid w:val="00070CBA"/>
    <w:rsid w:val="000A1E19"/>
    <w:rsid w:val="00102C40"/>
    <w:rsid w:val="001031D1"/>
    <w:rsid w:val="00114840"/>
    <w:rsid w:val="00181627"/>
    <w:rsid w:val="00224F84"/>
    <w:rsid w:val="0022766C"/>
    <w:rsid w:val="00267C26"/>
    <w:rsid w:val="00287C93"/>
    <w:rsid w:val="002923B3"/>
    <w:rsid w:val="002C4C9F"/>
    <w:rsid w:val="002E20B2"/>
    <w:rsid w:val="003121EC"/>
    <w:rsid w:val="00330890"/>
    <w:rsid w:val="003572D0"/>
    <w:rsid w:val="003630EA"/>
    <w:rsid w:val="00371D44"/>
    <w:rsid w:val="003747B5"/>
    <w:rsid w:val="00393D63"/>
    <w:rsid w:val="003C068E"/>
    <w:rsid w:val="003C48AA"/>
    <w:rsid w:val="003F534E"/>
    <w:rsid w:val="004240E1"/>
    <w:rsid w:val="00424A07"/>
    <w:rsid w:val="00424ECC"/>
    <w:rsid w:val="00490E88"/>
    <w:rsid w:val="004A6F4B"/>
    <w:rsid w:val="004B73EC"/>
    <w:rsid w:val="004C0BE4"/>
    <w:rsid w:val="004C3E30"/>
    <w:rsid w:val="00511794"/>
    <w:rsid w:val="005131CD"/>
    <w:rsid w:val="005302A7"/>
    <w:rsid w:val="005875C5"/>
    <w:rsid w:val="00595C15"/>
    <w:rsid w:val="005B46FD"/>
    <w:rsid w:val="005C21DD"/>
    <w:rsid w:val="005D6A7E"/>
    <w:rsid w:val="00605211"/>
    <w:rsid w:val="00612E00"/>
    <w:rsid w:val="006226C9"/>
    <w:rsid w:val="00630766"/>
    <w:rsid w:val="00637658"/>
    <w:rsid w:val="00662112"/>
    <w:rsid w:val="0067622D"/>
    <w:rsid w:val="006802A4"/>
    <w:rsid w:val="00692E67"/>
    <w:rsid w:val="006944BA"/>
    <w:rsid w:val="006A5B2E"/>
    <w:rsid w:val="006A6F81"/>
    <w:rsid w:val="006C0D29"/>
    <w:rsid w:val="006C74C9"/>
    <w:rsid w:val="006F2607"/>
    <w:rsid w:val="00710335"/>
    <w:rsid w:val="00750342"/>
    <w:rsid w:val="00754BA3"/>
    <w:rsid w:val="00757C8B"/>
    <w:rsid w:val="007B3A3A"/>
    <w:rsid w:val="00802EA9"/>
    <w:rsid w:val="008031C3"/>
    <w:rsid w:val="008144FC"/>
    <w:rsid w:val="00814A08"/>
    <w:rsid w:val="00861422"/>
    <w:rsid w:val="00864EF4"/>
    <w:rsid w:val="008A29F6"/>
    <w:rsid w:val="008A3C67"/>
    <w:rsid w:val="008F6795"/>
    <w:rsid w:val="009114A2"/>
    <w:rsid w:val="00925986"/>
    <w:rsid w:val="00941AE0"/>
    <w:rsid w:val="009420A0"/>
    <w:rsid w:val="0096148B"/>
    <w:rsid w:val="00970502"/>
    <w:rsid w:val="00995C07"/>
    <w:rsid w:val="009B35D0"/>
    <w:rsid w:val="009B76E1"/>
    <w:rsid w:val="009D64CF"/>
    <w:rsid w:val="009F6EA6"/>
    <w:rsid w:val="00A52FFD"/>
    <w:rsid w:val="00A745E9"/>
    <w:rsid w:val="00AB2C6E"/>
    <w:rsid w:val="00AE0FCA"/>
    <w:rsid w:val="00B014D4"/>
    <w:rsid w:val="00B06752"/>
    <w:rsid w:val="00B468B2"/>
    <w:rsid w:val="00B50ED3"/>
    <w:rsid w:val="00B75B22"/>
    <w:rsid w:val="00BE449B"/>
    <w:rsid w:val="00C04C51"/>
    <w:rsid w:val="00C127C5"/>
    <w:rsid w:val="00C26184"/>
    <w:rsid w:val="00C34B88"/>
    <w:rsid w:val="00C3655E"/>
    <w:rsid w:val="00C5169A"/>
    <w:rsid w:val="00C61818"/>
    <w:rsid w:val="00C671F3"/>
    <w:rsid w:val="00C7151F"/>
    <w:rsid w:val="00C82A6E"/>
    <w:rsid w:val="00C91EC5"/>
    <w:rsid w:val="00D06235"/>
    <w:rsid w:val="00D11FA4"/>
    <w:rsid w:val="00D50057"/>
    <w:rsid w:val="00D66252"/>
    <w:rsid w:val="00D8350E"/>
    <w:rsid w:val="00D86C7E"/>
    <w:rsid w:val="00DC38C8"/>
    <w:rsid w:val="00DE00E5"/>
    <w:rsid w:val="00DF7DFE"/>
    <w:rsid w:val="00E054C7"/>
    <w:rsid w:val="00E174F0"/>
    <w:rsid w:val="00E23F8E"/>
    <w:rsid w:val="00E50B04"/>
    <w:rsid w:val="00E52819"/>
    <w:rsid w:val="00E62B85"/>
    <w:rsid w:val="00E7032C"/>
    <w:rsid w:val="00E824E4"/>
    <w:rsid w:val="00E85077"/>
    <w:rsid w:val="00EA60C7"/>
    <w:rsid w:val="00EB080D"/>
    <w:rsid w:val="00EB2FC1"/>
    <w:rsid w:val="00EB4DD8"/>
    <w:rsid w:val="00ED161F"/>
    <w:rsid w:val="00EE4975"/>
    <w:rsid w:val="00EF2D27"/>
    <w:rsid w:val="00F014B6"/>
    <w:rsid w:val="00F15406"/>
    <w:rsid w:val="00F2793E"/>
    <w:rsid w:val="00F33495"/>
    <w:rsid w:val="00F946AA"/>
    <w:rsid w:val="00FF54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D50D30E"/>
  <w15:chartTrackingRefBased/>
  <w15:docId w15:val="{A8161CAF-161D-491F-925A-233463FA3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C3E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C3E30"/>
    <w:pPr>
      <w:ind w:leftChars="200" w:left="480"/>
    </w:pPr>
  </w:style>
  <w:style w:type="paragraph" w:styleId="a5">
    <w:name w:val="header"/>
    <w:basedOn w:val="a"/>
    <w:link w:val="a6"/>
    <w:uiPriority w:val="99"/>
    <w:unhideWhenUsed/>
    <w:rsid w:val="00EB2FC1"/>
    <w:pPr>
      <w:tabs>
        <w:tab w:val="center" w:pos="4153"/>
        <w:tab w:val="right" w:pos="8306"/>
      </w:tabs>
      <w:snapToGrid w:val="0"/>
    </w:pPr>
    <w:rPr>
      <w:sz w:val="20"/>
      <w:szCs w:val="20"/>
    </w:rPr>
  </w:style>
  <w:style w:type="character" w:customStyle="1" w:styleId="a6">
    <w:name w:val="頁首 字元"/>
    <w:basedOn w:val="a0"/>
    <w:link w:val="a5"/>
    <w:uiPriority w:val="99"/>
    <w:rsid w:val="00EB2FC1"/>
    <w:rPr>
      <w:sz w:val="20"/>
      <w:szCs w:val="20"/>
    </w:rPr>
  </w:style>
  <w:style w:type="paragraph" w:styleId="a7">
    <w:name w:val="footer"/>
    <w:basedOn w:val="a"/>
    <w:link w:val="a8"/>
    <w:uiPriority w:val="99"/>
    <w:unhideWhenUsed/>
    <w:rsid w:val="00EB2FC1"/>
    <w:pPr>
      <w:tabs>
        <w:tab w:val="center" w:pos="4153"/>
        <w:tab w:val="right" w:pos="8306"/>
      </w:tabs>
      <w:snapToGrid w:val="0"/>
    </w:pPr>
    <w:rPr>
      <w:sz w:val="20"/>
      <w:szCs w:val="20"/>
    </w:rPr>
  </w:style>
  <w:style w:type="character" w:customStyle="1" w:styleId="a8">
    <w:name w:val="頁尾 字元"/>
    <w:basedOn w:val="a0"/>
    <w:link w:val="a7"/>
    <w:uiPriority w:val="99"/>
    <w:rsid w:val="00EB2FC1"/>
    <w:rPr>
      <w:sz w:val="20"/>
      <w:szCs w:val="20"/>
    </w:rPr>
  </w:style>
  <w:style w:type="paragraph" w:styleId="HTML">
    <w:name w:val="HTML Preformatted"/>
    <w:basedOn w:val="a"/>
    <w:link w:val="HTML0"/>
    <w:uiPriority w:val="99"/>
    <w:semiHidden/>
    <w:unhideWhenUsed/>
    <w:rsid w:val="00EB2F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EB2FC1"/>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4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72899-EEBA-4C31-A129-0C8BC0E87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282</Words>
  <Characters>1608</Characters>
  <Application>Microsoft Office Word</Application>
  <DocSecurity>0</DocSecurity>
  <Lines>13</Lines>
  <Paragraphs>3</Paragraphs>
  <ScaleCrop>false</ScaleCrop>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40</cp:revision>
  <cp:lastPrinted>2025-12-26T09:18:00Z</cp:lastPrinted>
  <dcterms:created xsi:type="dcterms:W3CDTF">2025-12-29T04:20:00Z</dcterms:created>
  <dcterms:modified xsi:type="dcterms:W3CDTF">2026-02-24T06:25:00Z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bdecc859-1a0f-4dc4-a9ba-2a0cbdd0ec03</vt:lpwstr>
  </property>
</Properties>
</file>