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1AB90" w14:textId="2693BEEF" w:rsidR="00D05F6F" w:rsidRPr="00EF3296" w:rsidRDefault="00D05F6F" w:rsidP="00EF3296">
      <w:pPr>
        <w:jc w:val="center"/>
        <w:rPr>
          <w:rFonts w:ascii="Times New Roman" w:hAnsi="Times New Roman" w:cs="Times New Roman"/>
          <w:b/>
          <w:bCs/>
          <w:sz w:val="28"/>
          <w:szCs w:val="28"/>
        </w:rPr>
      </w:pPr>
      <w:r w:rsidRPr="00EF3296">
        <w:rPr>
          <w:rFonts w:ascii="Times New Roman" w:hAnsi="Times New Roman" w:cs="Times New Roman"/>
          <w:b/>
          <w:bCs/>
          <w:sz w:val="28"/>
          <w:szCs w:val="28"/>
        </w:rPr>
        <w:t>Kaohsiung Medical University</w:t>
      </w:r>
      <w:r w:rsidR="00EF3296" w:rsidRPr="00EF3296">
        <w:rPr>
          <w:rFonts w:ascii="Times New Roman" w:hAnsi="Times New Roman" w:cs="Times New Roman" w:hint="eastAsia"/>
          <w:b/>
          <w:bCs/>
          <w:sz w:val="28"/>
          <w:szCs w:val="28"/>
        </w:rPr>
        <w:t xml:space="preserve"> </w:t>
      </w:r>
      <w:r w:rsidRPr="00EF3296">
        <w:rPr>
          <w:rFonts w:ascii="Times New Roman" w:hAnsi="Times New Roman" w:cs="Times New Roman"/>
          <w:b/>
          <w:bCs/>
          <w:sz w:val="28"/>
          <w:szCs w:val="28"/>
        </w:rPr>
        <w:t>Regulations Governing the Establishment of the Faculty Evaluation Committee</w:t>
      </w:r>
    </w:p>
    <w:p w14:paraId="7853A941"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2016.05.19 Approved at the 4th University Council of the 104th academic year </w:t>
      </w:r>
    </w:p>
    <w:p w14:paraId="3C9107EB"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2016.12.30 Amended and approved at the 2nd University Council of the 105th academic year </w:t>
      </w:r>
    </w:p>
    <w:p w14:paraId="22E98C07"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2019.01.03 Amended and approved at the 2nd University Council of the 107th academic year </w:t>
      </w:r>
    </w:p>
    <w:p w14:paraId="74ADB138"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2019.01.21 Promulgated per Letter No. Gao-Yi-Ren-Zi No. 1081100170 </w:t>
      </w:r>
    </w:p>
    <w:p w14:paraId="4674B8E4"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2019.05.09 Approved at the 3rd Extraordinary University Council of the 107th academic year </w:t>
      </w:r>
    </w:p>
    <w:p w14:paraId="06E5CCF0"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2019.05.24 Promulgated per Letter No. Gao-Yi-Ren-Zi No. 1081101803 </w:t>
      </w:r>
    </w:p>
    <w:p w14:paraId="38F3B8F4"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2019.10.03 Approved at the 1st University Council of the 108th academic year </w:t>
      </w:r>
    </w:p>
    <w:p w14:paraId="790B3118"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2019.10.22 Promulgated per Letter No. Gao-Yi-Ren-Zi No. 1081103598 </w:t>
      </w:r>
    </w:p>
    <w:p w14:paraId="3D67585C"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2020.09.23 Approved at the 1st University Council of the 109th academic year </w:t>
      </w:r>
    </w:p>
    <w:p w14:paraId="40B597F7"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2020.10.08 Promulgated per Letter No. Gao-Yi-Ren-Zi No. 1091103241 </w:t>
      </w:r>
    </w:p>
    <w:p w14:paraId="1193B0B5" w14:textId="77777777" w:rsidR="00EF3296" w:rsidRDefault="00EF3296" w:rsidP="00EF3296">
      <w:pPr>
        <w:pStyle w:val="Web"/>
        <w:spacing w:before="0" w:beforeAutospacing="0" w:after="0" w:afterAutospacing="0" w:line="240" w:lineRule="exact"/>
        <w:ind w:leftChars="827" w:left="1985"/>
        <w:rPr>
          <w:rFonts w:ascii="Times New Roman" w:hAnsi="Times New Roman"/>
          <w:sz w:val="20"/>
        </w:rPr>
      </w:pPr>
      <w:r w:rsidRPr="008D5F1D">
        <w:rPr>
          <w:rFonts w:ascii="Times New Roman" w:hAnsi="Times New Roman"/>
          <w:sz w:val="20"/>
        </w:rPr>
        <w:t xml:space="preserve">2026.07.01 Approved at the 2nd Extraordinary University Council of the 114th academic year </w:t>
      </w:r>
    </w:p>
    <w:p w14:paraId="5211958D" w14:textId="69EEB84A" w:rsidR="00EF3296" w:rsidRDefault="00EF3296" w:rsidP="00EF3296">
      <w:pPr>
        <w:spacing w:after="0" w:line="240" w:lineRule="exact"/>
        <w:ind w:leftChars="827" w:left="1985"/>
        <w:rPr>
          <w:rFonts w:ascii="Times New Roman" w:hAnsi="Times New Roman" w:cs="Times New Roman"/>
          <w:b/>
          <w:bCs/>
        </w:rPr>
      </w:pPr>
      <w:r w:rsidRPr="008D5F1D">
        <w:rPr>
          <w:rFonts w:ascii="Times New Roman" w:hAnsi="Times New Roman"/>
          <w:sz w:val="20"/>
        </w:rPr>
        <w:t>2026.07.06 Promulgated per Letter No. Gao-Yi-Ren-Zi No. 1151102314</w:t>
      </w:r>
    </w:p>
    <w:p w14:paraId="559ADDC6" w14:textId="77777777" w:rsidR="00EF3296" w:rsidRDefault="00EF3296" w:rsidP="00D05F6F">
      <w:pPr>
        <w:rPr>
          <w:rFonts w:ascii="Times New Roman" w:hAnsi="Times New Roman" w:cs="Times New Roman" w:hint="eastAsia"/>
          <w:b/>
          <w:bCs/>
        </w:rPr>
      </w:pPr>
    </w:p>
    <w:p w14:paraId="341A55D4" w14:textId="0D10A188"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1</w:t>
      </w:r>
      <w:r w:rsidRPr="00EF3296">
        <w:rPr>
          <w:rFonts w:ascii="Times New Roman" w:hAnsi="Times New Roman" w:cs="Times New Roman"/>
        </w:rPr>
        <w:t xml:space="preserve"> In accordance with Article 20 of the University Act and Article 21 of the University's Organizational Regulations, the University establishes a University-level Faculty Evaluation Committee (hereinafter "the University FEC") and hereby enacts these Regulations.</w:t>
      </w:r>
    </w:p>
    <w:p w14:paraId="5F055D90"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2</w:t>
      </w:r>
      <w:r w:rsidRPr="00EF3296">
        <w:rPr>
          <w:rFonts w:ascii="Times New Roman" w:hAnsi="Times New Roman" w:cs="Times New Roman"/>
        </w:rPr>
        <w:t xml:space="preserve"> The University FEC shall be responsible for deliberating on the following matters:</w:t>
      </w:r>
    </w:p>
    <w:p w14:paraId="6BE35592" w14:textId="77777777" w:rsidR="00D05F6F" w:rsidRPr="00EF3296" w:rsidRDefault="00D05F6F" w:rsidP="00D05F6F">
      <w:pPr>
        <w:numPr>
          <w:ilvl w:val="0"/>
          <w:numId w:val="1"/>
        </w:numPr>
        <w:rPr>
          <w:rFonts w:ascii="Times New Roman" w:hAnsi="Times New Roman" w:cs="Times New Roman"/>
        </w:rPr>
      </w:pPr>
      <w:r w:rsidRPr="00EF3296">
        <w:rPr>
          <w:rFonts w:ascii="Times New Roman" w:hAnsi="Times New Roman" w:cs="Times New Roman"/>
        </w:rPr>
        <w:t>Matters relating to the appointment, promotion, suspension, dismissal, non-renewal of appointment, and determination of grounds for severance of faculty members.</w:t>
      </w:r>
    </w:p>
    <w:p w14:paraId="0B56B056" w14:textId="77777777" w:rsidR="00D05F6F" w:rsidRPr="00EF3296" w:rsidRDefault="00D05F6F" w:rsidP="00D05F6F">
      <w:pPr>
        <w:numPr>
          <w:ilvl w:val="0"/>
          <w:numId w:val="1"/>
        </w:numPr>
        <w:rPr>
          <w:rFonts w:ascii="Times New Roman" w:hAnsi="Times New Roman" w:cs="Times New Roman"/>
        </w:rPr>
      </w:pPr>
      <w:r w:rsidRPr="00EF3296">
        <w:rPr>
          <w:rFonts w:ascii="Times New Roman" w:hAnsi="Times New Roman" w:cs="Times New Roman"/>
        </w:rPr>
        <w:t>Other matters required by law or regulation to be deliberated upon.</w:t>
      </w:r>
    </w:p>
    <w:p w14:paraId="78DFF9AF"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3</w:t>
      </w:r>
      <w:r w:rsidRPr="00EF3296">
        <w:rPr>
          <w:rFonts w:ascii="Times New Roman" w:hAnsi="Times New Roman" w:cs="Times New Roman"/>
        </w:rPr>
        <w:t xml:space="preserve"> The University FEC shall have one Chairperson, concurrently held by the University President. Neither gender shall constitute less than one-third of the total number of committee members. The committee shall be composed as follows:</w:t>
      </w:r>
    </w:p>
    <w:p w14:paraId="437A965A"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Ex officio members:</w:t>
      </w:r>
      <w:r w:rsidRPr="00EF3296">
        <w:rPr>
          <w:rFonts w:ascii="Times New Roman" w:hAnsi="Times New Roman" w:cs="Times New Roman"/>
        </w:rPr>
        <w:t xml:space="preserve"> the President, Vice President(s), Vice President for Research and Development, Vice President for Academic Affairs, Vice President for Student Affairs, Dean of the Affiliated Chung-Ho Memorial Hospital, Deans of all colleges, and the Director of the General Education Center.</w:t>
      </w:r>
    </w:p>
    <w:p w14:paraId="50E6C433"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Elected members:</w:t>
      </w:r>
      <w:r w:rsidRPr="00EF3296">
        <w:rPr>
          <w:rFonts w:ascii="Times New Roman" w:hAnsi="Times New Roman" w:cs="Times New Roman"/>
        </w:rPr>
        <w:t xml:space="preserve"> the number of elected members shall not be fewer than the number of ex officio members.</w:t>
      </w:r>
    </w:p>
    <w:p w14:paraId="4001B9A2" w14:textId="77777777" w:rsidR="00D05F6F" w:rsidRPr="00EF3296" w:rsidRDefault="00D05F6F" w:rsidP="00D05F6F">
      <w:pPr>
        <w:numPr>
          <w:ilvl w:val="0"/>
          <w:numId w:val="2"/>
        </w:numPr>
        <w:rPr>
          <w:rFonts w:ascii="Times New Roman" w:hAnsi="Times New Roman" w:cs="Times New Roman"/>
        </w:rPr>
      </w:pPr>
      <w:r w:rsidRPr="00EF3296">
        <w:rPr>
          <w:rFonts w:ascii="Times New Roman" w:hAnsi="Times New Roman" w:cs="Times New Roman"/>
        </w:rPr>
        <w:t>Faculty Association representative: one Professor representative elected by the Faculty Association.</w:t>
      </w:r>
    </w:p>
    <w:p w14:paraId="1D3B6547" w14:textId="77777777" w:rsidR="00D05F6F" w:rsidRPr="00EF3296" w:rsidRDefault="00D05F6F" w:rsidP="00D05F6F">
      <w:pPr>
        <w:numPr>
          <w:ilvl w:val="0"/>
          <w:numId w:val="2"/>
        </w:numPr>
        <w:rPr>
          <w:rFonts w:ascii="Times New Roman" w:hAnsi="Times New Roman" w:cs="Times New Roman"/>
        </w:rPr>
      </w:pPr>
      <w:r w:rsidRPr="00EF3296">
        <w:rPr>
          <w:rFonts w:ascii="Times New Roman" w:hAnsi="Times New Roman" w:cs="Times New Roman"/>
        </w:rPr>
        <w:t xml:space="preserve">College (including the General Education Center) representatives: all full-time faculty within each college (or the General Education Center) shall elect two Professor representatives from their college who, within the past three years, have published works in </w:t>
      </w:r>
      <w:r w:rsidRPr="00EF3296">
        <w:rPr>
          <w:rFonts w:ascii="Times New Roman" w:hAnsi="Times New Roman" w:cs="Times New Roman"/>
        </w:rPr>
        <w:lastRenderedPageBreak/>
        <w:t>SCIE, SSCI, EI, A&amp;HCI, TSSCI, or THCI journals, in second-tier journals in the social sciences and humanities, in second-tier or above journals (or performance works) in general education, or in peer-reviewed academic monographs. For each college (or the General Education Center) with more than 50 faculty members, one additional committee member shall be added for every additional 50 faculty members, and so on proportionally. Each college (or the General Education Center) shall designate at least two alternate members. When a vacancy arises among the representatives of a college (or the General Education Center), the alternates of that college shall fill the vacancy in order; if no alternate is available, a by-election shall be held promptly.</w:t>
      </w:r>
    </w:p>
    <w:p w14:paraId="0AA91E14"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A member of the University FEC may not simultaneously serve as a department-level or college-level FEC member within the same college (or General Education Center).</w:t>
      </w:r>
    </w:p>
    <w:p w14:paraId="14F38B1B"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If the proportion of members of either gender falls below one-third of the total membership, the President may appoint additional members from the roster of full-time Professors.</w:t>
      </w:r>
    </w:p>
    <w:p w14:paraId="5E2C5A3B"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The following persons shall not serve as committee members:</w:t>
      </w:r>
    </w:p>
    <w:p w14:paraId="668E77F3" w14:textId="77777777" w:rsidR="00D05F6F" w:rsidRPr="00EF3296" w:rsidRDefault="00D05F6F" w:rsidP="00D05F6F">
      <w:pPr>
        <w:numPr>
          <w:ilvl w:val="0"/>
          <w:numId w:val="3"/>
        </w:numPr>
        <w:rPr>
          <w:rFonts w:ascii="Times New Roman" w:hAnsi="Times New Roman" w:cs="Times New Roman"/>
        </w:rPr>
      </w:pPr>
      <w:r w:rsidRPr="00EF3296">
        <w:rPr>
          <w:rFonts w:ascii="Times New Roman" w:hAnsi="Times New Roman" w:cs="Times New Roman"/>
        </w:rPr>
        <w:t>Persons concurrently holding a position with the university's legal person (juridical entity).</w:t>
      </w:r>
    </w:p>
    <w:p w14:paraId="029CA269" w14:textId="77777777" w:rsidR="00D05F6F" w:rsidRPr="00EF3296" w:rsidRDefault="00D05F6F" w:rsidP="00D05F6F">
      <w:pPr>
        <w:numPr>
          <w:ilvl w:val="0"/>
          <w:numId w:val="3"/>
        </w:numPr>
        <w:rPr>
          <w:rFonts w:ascii="Times New Roman" w:hAnsi="Times New Roman" w:cs="Times New Roman"/>
        </w:rPr>
      </w:pPr>
      <w:r w:rsidRPr="00EF3296">
        <w:rPr>
          <w:rFonts w:ascii="Times New Roman" w:hAnsi="Times New Roman" w:cs="Times New Roman"/>
        </w:rPr>
        <w:t>Persons provisionally retained in employment while a dismissal, suspension, or non-renewal case is still under review.</w:t>
      </w:r>
    </w:p>
    <w:p w14:paraId="3D7C53EF"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4</w:t>
      </w:r>
      <w:r w:rsidRPr="00EF3296">
        <w:rPr>
          <w:rFonts w:ascii="Times New Roman" w:hAnsi="Times New Roman" w:cs="Times New Roman"/>
        </w:rPr>
        <w:t xml:space="preserve"> The term of University FEC members shall be one year and may be renewed. If a member is approved for secondment, sabbatical leave, or leave of absence with or without pay during the term, or if any circumstance arises that disqualifies the member under the preceding Article, the vacancy shall be filled by alternate members in order from the effective date of the change, until the original term is completed.</w:t>
      </w:r>
    </w:p>
    <w:p w14:paraId="315BDF49"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5</w:t>
      </w:r>
      <w:r w:rsidRPr="00EF3296">
        <w:rPr>
          <w:rFonts w:ascii="Times New Roman" w:hAnsi="Times New Roman" w:cs="Times New Roman"/>
        </w:rPr>
        <w:t xml:space="preserve"> When the University FEC convenes, ex officio members who are unable to attend may designate a substitute who holds the rank of Professor and is not already a committee member. Elected members must attend in person and may not designate substitutes. An elected member who fails to attend two or more meetings during the term shall, upon determination by the University FEC, be removed from office, and the vacancy shall be filled by alternate members in order until the original term is completed. Exceptions include teaching duties on campus, attendance at important meetings (such as those of the Ministry of Education or the National Science and Technology Council), and other force majeure circumstances.</w:t>
      </w:r>
    </w:p>
    <w:p w14:paraId="6EAB892C"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6</w:t>
      </w:r>
      <w:r w:rsidRPr="00EF3296">
        <w:rPr>
          <w:rFonts w:ascii="Times New Roman" w:hAnsi="Times New Roman" w:cs="Times New Roman"/>
        </w:rPr>
        <w:t xml:space="preserve"> The University FEC shall in principle convene twice per semester, called by the Chairperson. Ad hoc meetings may be convened when necessary. If the Chairperson is unable to </w:t>
      </w:r>
      <w:r w:rsidRPr="00EF3296">
        <w:rPr>
          <w:rFonts w:ascii="Times New Roman" w:hAnsi="Times New Roman" w:cs="Times New Roman"/>
        </w:rPr>
        <w:lastRenderedPageBreak/>
        <w:t>preside over a meeting, the Chairperson shall designate one of the ex officio members to serve as Acting Chairperson.</w:t>
      </w:r>
    </w:p>
    <w:p w14:paraId="16B30D80"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7</w:t>
      </w:r>
      <w:r w:rsidRPr="00EF3296">
        <w:rPr>
          <w:rFonts w:ascii="Times New Roman" w:hAnsi="Times New Roman" w:cs="Times New Roman"/>
        </w:rPr>
        <w:t xml:space="preserve"> Except where the quorum and voting thresholds for deliberations on faculty dismissal, suspension, non-renewal of appointment, severance, or temporary suspension are governed by the applicable provisions of the Teacher Act, meetings of the University FEC shall require attendance of at least two-thirds of all committee members, and resolutions shall require the affirmative vote of at least two-thirds of the members present.</w:t>
      </w:r>
    </w:p>
    <w:p w14:paraId="6E199966"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Members subject to recusal shall not be counted in the number of members present for the purpose of voting.</w:t>
      </w:r>
    </w:p>
    <w:p w14:paraId="671EDD35"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When the University FEC convenes, relevant persons may be invited to attend as observers to report or provide explanations as needed.</w:t>
      </w:r>
    </w:p>
    <w:p w14:paraId="2C8EDE19"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8</w:t>
      </w:r>
      <w:r w:rsidRPr="00EF3296">
        <w:rPr>
          <w:rFonts w:ascii="Times New Roman" w:hAnsi="Times New Roman" w:cs="Times New Roman"/>
        </w:rPr>
        <w:t xml:space="preserve"> University FEC members shall recuse themselves from deliberations involving the member personally or any person bearing any of the following relationships to the member:</w:t>
      </w:r>
    </w:p>
    <w:p w14:paraId="7FEB29F0" w14:textId="77777777" w:rsidR="00D05F6F" w:rsidRPr="00EF3296" w:rsidRDefault="00D05F6F" w:rsidP="00D05F6F">
      <w:pPr>
        <w:numPr>
          <w:ilvl w:val="0"/>
          <w:numId w:val="4"/>
        </w:numPr>
        <w:rPr>
          <w:rFonts w:ascii="Times New Roman" w:hAnsi="Times New Roman" w:cs="Times New Roman"/>
        </w:rPr>
      </w:pPr>
      <w:r w:rsidRPr="00EF3296">
        <w:rPr>
          <w:rFonts w:ascii="Times New Roman" w:hAnsi="Times New Roman" w:cs="Times New Roman"/>
        </w:rPr>
        <w:t>A supervisor–student relationship arising from the supervision of a doctoral or master's thesis.</w:t>
      </w:r>
    </w:p>
    <w:p w14:paraId="7BB4D99D" w14:textId="77777777" w:rsidR="00D05F6F" w:rsidRPr="00EF3296" w:rsidRDefault="00D05F6F" w:rsidP="00D05F6F">
      <w:pPr>
        <w:numPr>
          <w:ilvl w:val="0"/>
          <w:numId w:val="4"/>
        </w:numPr>
        <w:rPr>
          <w:rFonts w:ascii="Times New Roman" w:hAnsi="Times New Roman" w:cs="Times New Roman"/>
        </w:rPr>
      </w:pPr>
      <w:r w:rsidRPr="00EF3296">
        <w:rPr>
          <w:rFonts w:ascii="Times New Roman" w:hAnsi="Times New Roman" w:cs="Times New Roman"/>
        </w:rPr>
        <w:t>Spouse, former spouse, blood relatives within the fourth degree of kinship, or relatives by marriage within the third degree of kinship, or persons who previously held such relationships.</w:t>
      </w:r>
    </w:p>
    <w:p w14:paraId="640D5EEF" w14:textId="77777777" w:rsidR="00D05F6F" w:rsidRPr="00EF3296" w:rsidRDefault="00D05F6F" w:rsidP="00D05F6F">
      <w:pPr>
        <w:numPr>
          <w:ilvl w:val="0"/>
          <w:numId w:val="4"/>
        </w:numPr>
        <w:rPr>
          <w:rFonts w:ascii="Times New Roman" w:hAnsi="Times New Roman" w:cs="Times New Roman"/>
        </w:rPr>
      </w:pPr>
      <w:r w:rsidRPr="00EF3296">
        <w:rPr>
          <w:rFonts w:ascii="Times New Roman" w:hAnsi="Times New Roman" w:cs="Times New Roman"/>
        </w:rPr>
        <w:t>Co-authors of the primary thesis or representative academic work under review.</w:t>
      </w:r>
    </w:p>
    <w:p w14:paraId="6FFFDD40" w14:textId="77777777" w:rsidR="00D05F6F" w:rsidRPr="00EF3296" w:rsidRDefault="00D05F6F" w:rsidP="00D05F6F">
      <w:pPr>
        <w:numPr>
          <w:ilvl w:val="0"/>
          <w:numId w:val="4"/>
        </w:numPr>
        <w:rPr>
          <w:rFonts w:ascii="Times New Roman" w:hAnsi="Times New Roman" w:cs="Times New Roman"/>
        </w:rPr>
      </w:pPr>
      <w:r w:rsidRPr="00EF3296">
        <w:rPr>
          <w:rFonts w:ascii="Times New Roman" w:hAnsi="Times New Roman" w:cs="Times New Roman"/>
        </w:rPr>
        <w:t>Persons with a relevant conflict of interest.</w:t>
      </w:r>
    </w:p>
    <w:p w14:paraId="45D7C5B4" w14:textId="77777777" w:rsidR="00D05F6F" w:rsidRPr="00EF3296" w:rsidRDefault="00D05F6F" w:rsidP="00D05F6F">
      <w:pPr>
        <w:numPr>
          <w:ilvl w:val="0"/>
          <w:numId w:val="4"/>
        </w:numPr>
        <w:rPr>
          <w:rFonts w:ascii="Times New Roman" w:hAnsi="Times New Roman" w:cs="Times New Roman"/>
        </w:rPr>
      </w:pPr>
      <w:r w:rsidRPr="00EF3296">
        <w:rPr>
          <w:rFonts w:ascii="Times New Roman" w:hAnsi="Times New Roman" w:cs="Times New Roman"/>
        </w:rPr>
        <w:t>Cases where recusal is required under other laws or regulations.</w:t>
      </w:r>
    </w:p>
    <w:p w14:paraId="7F6980B9"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9</w:t>
      </w:r>
      <w:r w:rsidRPr="00EF3296">
        <w:rPr>
          <w:rFonts w:ascii="Times New Roman" w:hAnsi="Times New Roman" w:cs="Times New Roman"/>
        </w:rPr>
        <w:t xml:space="preserve"> Resolutions adopted by the University FEC shall be submitted to the President for approval before being carried out.</w:t>
      </w:r>
    </w:p>
    <w:p w14:paraId="71AD9A13"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10</w:t>
      </w:r>
      <w:r w:rsidRPr="00EF3296">
        <w:rPr>
          <w:rFonts w:ascii="Times New Roman" w:hAnsi="Times New Roman" w:cs="Times New Roman"/>
        </w:rPr>
        <w:t xml:space="preserve"> The University establishes Faculty Evaluation Committees at three levels — University, college, and department — for the purpose of reviewing faculty appointments and related matters. Cases shall first be deliberated upon by the department-level and college-level FECs; upon approval, they shall be submitted to the University FEC for deliberation. Where the University recruits persons who already hold Ministry of Education certification at the rank of Associate Professor or Professor based on institutional development needs, the relevant regulations shall apply.</w:t>
      </w:r>
    </w:p>
    <w:p w14:paraId="2BFCC9D5"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lastRenderedPageBreak/>
        <w:t>Cases of faculty dismissal, suspension, non-renewal of appointment, or severance shall be reviewed in order by the department-level, college-level, and University-level FECs, except for temporary suspension cases under Article 22 of the Teacher Act, which shall be submitted directly to the University FEC for deliberation, and for cases exempted by the Teacher Act from FEC review.</w:t>
      </w:r>
    </w:p>
    <w:p w14:paraId="1BD7BED5"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Separate regulations shall be enacted for the "Regulations Governing the Establishment of College-Level Faculty Evaluation Committees" and the "Regulations Governing the Establishment of Department-Level Faculty Evaluation Committees."</w:t>
      </w:r>
    </w:p>
    <w:p w14:paraId="0086CB77"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11</w:t>
      </w:r>
      <w:r w:rsidRPr="00EF3296">
        <w:rPr>
          <w:rFonts w:ascii="Times New Roman" w:hAnsi="Times New Roman" w:cs="Times New Roman"/>
        </w:rPr>
        <w:t xml:space="preserve"> Where matters concerning faculty dismissal, suspension, non-renewal of appointment, or other significant matters affecting faculty rights are clearly supported by evidence, and the resolution adopted by a department-level FEC is manifestly contrary to law or regulation, the college-level FEC may directly deliberate and modify the resolution in accordance with applicable provisions. The same applies when the University FEC encounters similar circumstances with respect to a college-level FEC.</w:t>
      </w:r>
    </w:p>
    <w:p w14:paraId="615D0E54" w14:textId="7777777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12</w:t>
      </w:r>
      <w:r w:rsidRPr="00EF3296">
        <w:rPr>
          <w:rFonts w:ascii="Times New Roman" w:hAnsi="Times New Roman" w:cs="Times New Roman"/>
        </w:rPr>
        <w:t xml:space="preserve"> If, within two months of the date a resolution is adopted, the University FEC discovers that its resolution on faculty dismissal, suspension, or non-renewal of appointment is manifestly contrary to law or regulation, or that a change in circumstances or the discovery of new evidence renders re-deliberation of the original resolution genuinely necessary, a committee member may move for reconsideration, which shall require the support of at least one-tenth of the members present before re-deliberation proceedings may be reopened.</w:t>
      </w:r>
    </w:p>
    <w:p w14:paraId="49FB9C88"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Once a motion for reconsideration is rejected, no further motion for reconsideration of the same resolution may be made.</w:t>
      </w:r>
    </w:p>
    <w:p w14:paraId="54B0FC73" w14:textId="77777777" w:rsidR="00D05F6F" w:rsidRPr="00EF3296" w:rsidRDefault="00D05F6F" w:rsidP="00D05F6F">
      <w:pPr>
        <w:rPr>
          <w:rFonts w:ascii="Times New Roman" w:hAnsi="Times New Roman" w:cs="Times New Roman"/>
        </w:rPr>
      </w:pPr>
      <w:r w:rsidRPr="00EF3296">
        <w:rPr>
          <w:rFonts w:ascii="Times New Roman" w:hAnsi="Times New Roman" w:cs="Times New Roman"/>
        </w:rPr>
        <w:t>For cases in which re-deliberation proceedings are reopened, the quorum and voting thresholds required for a resolution to pass shall still be those prescribed by the Teacher Act for the relevant type of matter.</w:t>
      </w:r>
    </w:p>
    <w:p w14:paraId="1A4BAF66" w14:textId="7DAD6007" w:rsidR="00D05F6F" w:rsidRPr="00EF3296" w:rsidRDefault="00D05F6F" w:rsidP="00D05F6F">
      <w:pPr>
        <w:rPr>
          <w:rFonts w:ascii="Times New Roman" w:hAnsi="Times New Roman" w:cs="Times New Roman"/>
        </w:rPr>
      </w:pPr>
      <w:r w:rsidRPr="00EF3296">
        <w:rPr>
          <w:rFonts w:ascii="Times New Roman" w:hAnsi="Times New Roman" w:cs="Times New Roman"/>
          <w:b/>
          <w:bCs/>
        </w:rPr>
        <w:t>Article 13</w:t>
      </w:r>
      <w:r w:rsidRPr="00EF3296">
        <w:rPr>
          <w:rFonts w:ascii="Times New Roman" w:hAnsi="Times New Roman" w:cs="Times New Roman"/>
        </w:rPr>
        <w:t xml:space="preserve"> These Regulations shall take effect from the date of promulgation after being reviewed and approved by a University </w:t>
      </w:r>
      <w:r w:rsidR="00590394">
        <w:rPr>
          <w:rFonts w:ascii="Times New Roman" w:hAnsi="Times New Roman" w:cs="Times New Roman" w:hint="eastAsia"/>
        </w:rPr>
        <w:t>Council</w:t>
      </w:r>
      <w:r w:rsidRPr="00EF3296">
        <w:rPr>
          <w:rFonts w:ascii="Times New Roman" w:hAnsi="Times New Roman" w:cs="Times New Roman"/>
        </w:rPr>
        <w:t>. The same procedure shall apply to any amendments.</w:t>
      </w:r>
    </w:p>
    <w:p w14:paraId="69222E7B" w14:textId="77777777" w:rsidR="002C1A54" w:rsidRPr="00EF3296" w:rsidRDefault="002C1A54">
      <w:pPr>
        <w:rPr>
          <w:rFonts w:ascii="Times New Roman" w:hAnsi="Times New Roman" w:cs="Times New Roman"/>
        </w:rPr>
      </w:pPr>
    </w:p>
    <w:sectPr w:rsidR="002C1A54" w:rsidRPr="00EF3296" w:rsidSect="00EF329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50F7" w14:textId="77777777" w:rsidR="00A26695" w:rsidRDefault="00A26695" w:rsidP="00EF3296">
      <w:pPr>
        <w:spacing w:after="0" w:line="240" w:lineRule="auto"/>
      </w:pPr>
      <w:r>
        <w:separator/>
      </w:r>
    </w:p>
  </w:endnote>
  <w:endnote w:type="continuationSeparator" w:id="0">
    <w:p w14:paraId="094323E2" w14:textId="77777777" w:rsidR="00A26695" w:rsidRDefault="00A26695" w:rsidP="00EF3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22309" w14:textId="77777777" w:rsidR="00A26695" w:rsidRDefault="00A26695" w:rsidP="00EF3296">
      <w:pPr>
        <w:spacing w:after="0" w:line="240" w:lineRule="auto"/>
      </w:pPr>
      <w:r>
        <w:separator/>
      </w:r>
    </w:p>
  </w:footnote>
  <w:footnote w:type="continuationSeparator" w:id="0">
    <w:p w14:paraId="74152E3F" w14:textId="77777777" w:rsidR="00A26695" w:rsidRDefault="00A26695" w:rsidP="00EF3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4A38"/>
    <w:multiLevelType w:val="multilevel"/>
    <w:tmpl w:val="245E7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ED7418"/>
    <w:multiLevelType w:val="multilevel"/>
    <w:tmpl w:val="030C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1216A"/>
    <w:multiLevelType w:val="multilevel"/>
    <w:tmpl w:val="3CA87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215454"/>
    <w:multiLevelType w:val="multilevel"/>
    <w:tmpl w:val="E2D48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8360728">
    <w:abstractNumId w:val="0"/>
  </w:num>
  <w:num w:numId="2" w16cid:durableId="1221331135">
    <w:abstractNumId w:val="2"/>
  </w:num>
  <w:num w:numId="3" w16cid:durableId="1217161188">
    <w:abstractNumId w:val="1"/>
  </w:num>
  <w:num w:numId="4" w16cid:durableId="2202145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6F"/>
    <w:rsid w:val="001B5D93"/>
    <w:rsid w:val="002C1A54"/>
    <w:rsid w:val="00590394"/>
    <w:rsid w:val="007646A9"/>
    <w:rsid w:val="00A26695"/>
    <w:rsid w:val="00B63ED4"/>
    <w:rsid w:val="00D05F6F"/>
    <w:rsid w:val="00EF32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5716D"/>
  <w15:chartTrackingRefBased/>
  <w15:docId w15:val="{750220F4-DA10-4710-A05E-D946ED53F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05F6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05F6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05F6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05F6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05F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05F6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05F6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5F6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05F6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05F6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05F6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05F6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05F6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05F6F"/>
    <w:rPr>
      <w:rFonts w:eastAsiaTheme="majorEastAsia" w:cstheme="majorBidi"/>
      <w:color w:val="0F4761" w:themeColor="accent1" w:themeShade="BF"/>
    </w:rPr>
  </w:style>
  <w:style w:type="character" w:customStyle="1" w:styleId="60">
    <w:name w:val="標題 6 字元"/>
    <w:basedOn w:val="a0"/>
    <w:link w:val="6"/>
    <w:uiPriority w:val="9"/>
    <w:semiHidden/>
    <w:rsid w:val="00D05F6F"/>
    <w:rPr>
      <w:rFonts w:eastAsiaTheme="majorEastAsia" w:cstheme="majorBidi"/>
      <w:color w:val="595959" w:themeColor="text1" w:themeTint="A6"/>
    </w:rPr>
  </w:style>
  <w:style w:type="character" w:customStyle="1" w:styleId="70">
    <w:name w:val="標題 7 字元"/>
    <w:basedOn w:val="a0"/>
    <w:link w:val="7"/>
    <w:uiPriority w:val="9"/>
    <w:semiHidden/>
    <w:rsid w:val="00D05F6F"/>
    <w:rPr>
      <w:rFonts w:eastAsiaTheme="majorEastAsia" w:cstheme="majorBidi"/>
      <w:color w:val="595959" w:themeColor="text1" w:themeTint="A6"/>
    </w:rPr>
  </w:style>
  <w:style w:type="character" w:customStyle="1" w:styleId="80">
    <w:name w:val="標題 8 字元"/>
    <w:basedOn w:val="a0"/>
    <w:link w:val="8"/>
    <w:uiPriority w:val="9"/>
    <w:semiHidden/>
    <w:rsid w:val="00D05F6F"/>
    <w:rPr>
      <w:rFonts w:eastAsiaTheme="majorEastAsia" w:cstheme="majorBidi"/>
      <w:color w:val="272727" w:themeColor="text1" w:themeTint="D8"/>
    </w:rPr>
  </w:style>
  <w:style w:type="character" w:customStyle="1" w:styleId="90">
    <w:name w:val="標題 9 字元"/>
    <w:basedOn w:val="a0"/>
    <w:link w:val="9"/>
    <w:uiPriority w:val="9"/>
    <w:semiHidden/>
    <w:rsid w:val="00D05F6F"/>
    <w:rPr>
      <w:rFonts w:eastAsiaTheme="majorEastAsia" w:cstheme="majorBidi"/>
      <w:color w:val="272727" w:themeColor="text1" w:themeTint="D8"/>
    </w:rPr>
  </w:style>
  <w:style w:type="paragraph" w:styleId="a3">
    <w:name w:val="Title"/>
    <w:basedOn w:val="a"/>
    <w:next w:val="a"/>
    <w:link w:val="a4"/>
    <w:uiPriority w:val="10"/>
    <w:qFormat/>
    <w:rsid w:val="00D05F6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05F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5F6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05F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5F6F"/>
    <w:pPr>
      <w:spacing w:before="160"/>
      <w:jc w:val="center"/>
    </w:pPr>
    <w:rPr>
      <w:i/>
      <w:iCs/>
      <w:color w:val="404040" w:themeColor="text1" w:themeTint="BF"/>
    </w:rPr>
  </w:style>
  <w:style w:type="character" w:customStyle="1" w:styleId="a8">
    <w:name w:val="引文 字元"/>
    <w:basedOn w:val="a0"/>
    <w:link w:val="a7"/>
    <w:uiPriority w:val="29"/>
    <w:rsid w:val="00D05F6F"/>
    <w:rPr>
      <w:i/>
      <w:iCs/>
      <w:color w:val="404040" w:themeColor="text1" w:themeTint="BF"/>
    </w:rPr>
  </w:style>
  <w:style w:type="paragraph" w:styleId="a9">
    <w:name w:val="List Paragraph"/>
    <w:basedOn w:val="a"/>
    <w:uiPriority w:val="34"/>
    <w:qFormat/>
    <w:rsid w:val="00D05F6F"/>
    <w:pPr>
      <w:ind w:left="720"/>
      <w:contextualSpacing/>
    </w:pPr>
  </w:style>
  <w:style w:type="character" w:styleId="aa">
    <w:name w:val="Intense Emphasis"/>
    <w:basedOn w:val="a0"/>
    <w:uiPriority w:val="21"/>
    <w:qFormat/>
    <w:rsid w:val="00D05F6F"/>
    <w:rPr>
      <w:i/>
      <w:iCs/>
      <w:color w:val="0F4761" w:themeColor="accent1" w:themeShade="BF"/>
    </w:rPr>
  </w:style>
  <w:style w:type="paragraph" w:styleId="ab">
    <w:name w:val="Intense Quote"/>
    <w:basedOn w:val="a"/>
    <w:next w:val="a"/>
    <w:link w:val="ac"/>
    <w:uiPriority w:val="30"/>
    <w:qFormat/>
    <w:rsid w:val="00D05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05F6F"/>
    <w:rPr>
      <w:i/>
      <w:iCs/>
      <w:color w:val="0F4761" w:themeColor="accent1" w:themeShade="BF"/>
    </w:rPr>
  </w:style>
  <w:style w:type="character" w:styleId="ad">
    <w:name w:val="Intense Reference"/>
    <w:basedOn w:val="a0"/>
    <w:uiPriority w:val="32"/>
    <w:qFormat/>
    <w:rsid w:val="00D05F6F"/>
    <w:rPr>
      <w:b/>
      <w:bCs/>
      <w:smallCaps/>
      <w:color w:val="0F4761" w:themeColor="accent1" w:themeShade="BF"/>
      <w:spacing w:val="5"/>
    </w:rPr>
  </w:style>
  <w:style w:type="paragraph" w:styleId="ae">
    <w:name w:val="header"/>
    <w:basedOn w:val="a"/>
    <w:link w:val="af"/>
    <w:uiPriority w:val="99"/>
    <w:unhideWhenUsed/>
    <w:rsid w:val="00EF3296"/>
    <w:pPr>
      <w:tabs>
        <w:tab w:val="center" w:pos="4153"/>
        <w:tab w:val="right" w:pos="8306"/>
      </w:tabs>
      <w:snapToGrid w:val="0"/>
    </w:pPr>
    <w:rPr>
      <w:sz w:val="20"/>
      <w:szCs w:val="20"/>
    </w:rPr>
  </w:style>
  <w:style w:type="character" w:customStyle="1" w:styleId="af">
    <w:name w:val="頁首 字元"/>
    <w:basedOn w:val="a0"/>
    <w:link w:val="ae"/>
    <w:uiPriority w:val="99"/>
    <w:rsid w:val="00EF3296"/>
    <w:rPr>
      <w:sz w:val="20"/>
      <w:szCs w:val="20"/>
    </w:rPr>
  </w:style>
  <w:style w:type="paragraph" w:styleId="af0">
    <w:name w:val="footer"/>
    <w:basedOn w:val="a"/>
    <w:link w:val="af1"/>
    <w:uiPriority w:val="99"/>
    <w:unhideWhenUsed/>
    <w:rsid w:val="00EF3296"/>
    <w:pPr>
      <w:tabs>
        <w:tab w:val="center" w:pos="4153"/>
        <w:tab w:val="right" w:pos="8306"/>
      </w:tabs>
      <w:snapToGrid w:val="0"/>
    </w:pPr>
    <w:rPr>
      <w:sz w:val="20"/>
      <w:szCs w:val="20"/>
    </w:rPr>
  </w:style>
  <w:style w:type="character" w:customStyle="1" w:styleId="af1">
    <w:name w:val="頁尾 字元"/>
    <w:basedOn w:val="a0"/>
    <w:link w:val="af0"/>
    <w:uiPriority w:val="99"/>
    <w:rsid w:val="00EF3296"/>
    <w:rPr>
      <w:sz w:val="20"/>
      <w:szCs w:val="20"/>
    </w:rPr>
  </w:style>
  <w:style w:type="paragraph" w:styleId="Web">
    <w:name w:val="Normal (Web)"/>
    <w:basedOn w:val="a"/>
    <w:uiPriority w:val="99"/>
    <w:semiHidden/>
    <w:unhideWhenUsed/>
    <w:rsid w:val="00EF3296"/>
    <w:pPr>
      <w:widowControl/>
      <w:spacing w:before="100" w:beforeAutospacing="1" w:after="100" w:afterAutospacing="1" w:line="240" w:lineRule="auto"/>
    </w:pPr>
    <w:rPr>
      <w:rFonts w:ascii="新細明體" w:eastAsia="新細明體" w:hAnsi="新細明體" w:cs="新細明體"/>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53670">
      <w:bodyDiv w:val="1"/>
      <w:marLeft w:val="0"/>
      <w:marRight w:val="0"/>
      <w:marTop w:val="0"/>
      <w:marBottom w:val="0"/>
      <w:divBdr>
        <w:top w:val="none" w:sz="0" w:space="0" w:color="auto"/>
        <w:left w:val="none" w:sz="0" w:space="0" w:color="auto"/>
        <w:bottom w:val="none" w:sz="0" w:space="0" w:color="auto"/>
        <w:right w:val="none" w:sz="0" w:space="0" w:color="auto"/>
      </w:divBdr>
    </w:div>
    <w:div w:id="211146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1445</Words>
  <Characters>8239</Characters>
  <Application>Microsoft Office Word</Application>
  <DocSecurity>0</DocSecurity>
  <Lines>68</Lines>
  <Paragraphs>19</Paragraphs>
  <ScaleCrop>false</ScaleCrop>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朱怡蓓</cp:lastModifiedBy>
  <cp:revision>3</cp:revision>
  <dcterms:created xsi:type="dcterms:W3CDTF">2026-07-23T10:28:00Z</dcterms:created>
  <dcterms:modified xsi:type="dcterms:W3CDTF">2026-08-03T10:44:00Z</dcterms:modified>
</cp:coreProperties>
</file>