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9F14F" w14:textId="70D94308" w:rsidR="00347007" w:rsidRPr="008A7444" w:rsidRDefault="00347007" w:rsidP="008A7444">
      <w:pPr>
        <w:spacing w:after="0" w:line="420" w:lineRule="exact"/>
        <w:jc w:val="center"/>
        <w:rPr>
          <w:rFonts w:ascii="Times New Roman" w:hAnsi="Times New Roman" w:cs="Times New Roman"/>
          <w:b/>
          <w:bCs/>
          <w:sz w:val="28"/>
        </w:rPr>
      </w:pPr>
      <w:r w:rsidRPr="008A7444">
        <w:rPr>
          <w:rFonts w:ascii="Times New Roman" w:hAnsi="Times New Roman" w:cs="Times New Roman"/>
          <w:b/>
          <w:bCs/>
          <w:sz w:val="28"/>
        </w:rPr>
        <w:t>Kaohsiung Medical University</w:t>
      </w:r>
    </w:p>
    <w:p w14:paraId="591B6134" w14:textId="77777777" w:rsidR="00347007" w:rsidRPr="008A7444" w:rsidRDefault="00347007" w:rsidP="008A7444">
      <w:pPr>
        <w:spacing w:after="0" w:line="420" w:lineRule="exact"/>
        <w:jc w:val="center"/>
        <w:rPr>
          <w:rFonts w:ascii="Times New Roman" w:hAnsi="Times New Roman" w:cs="Times New Roman"/>
          <w:b/>
          <w:bCs/>
          <w:sz w:val="28"/>
        </w:rPr>
      </w:pPr>
      <w:r w:rsidRPr="008A7444">
        <w:rPr>
          <w:rFonts w:ascii="Times New Roman" w:hAnsi="Times New Roman" w:cs="Times New Roman"/>
          <w:b/>
          <w:bCs/>
          <w:sz w:val="28"/>
        </w:rPr>
        <w:t>Regulations for the Appointment of Visiting Professors and Associate Professors</w:t>
      </w:r>
    </w:p>
    <w:p w14:paraId="5706DFE2" w14:textId="77777777" w:rsidR="008A7444" w:rsidRDefault="008A7444" w:rsidP="008A7444">
      <w:pPr>
        <w:spacing w:after="0" w:line="320" w:lineRule="exact"/>
        <w:ind w:left="720"/>
        <w:jc w:val="right"/>
        <w:rPr>
          <w:rFonts w:ascii="Times New Roman" w:hAnsi="Times New Roman" w:cs="Times New Roman"/>
          <w:sz w:val="20"/>
        </w:rPr>
      </w:pPr>
    </w:p>
    <w:p w14:paraId="0F8C840E" w14:textId="7D0CB076" w:rsidR="00347007" w:rsidRPr="00A62F97" w:rsidRDefault="00A62F97" w:rsidP="008A7444">
      <w:pPr>
        <w:spacing w:after="0" w:line="280" w:lineRule="exact"/>
        <w:ind w:left="720"/>
        <w:jc w:val="right"/>
        <w:rPr>
          <w:rFonts w:ascii="Times New Roman" w:hAnsi="Times New Roman" w:cs="Times New Roman"/>
          <w:sz w:val="20"/>
        </w:rPr>
      </w:pPr>
      <w:r>
        <w:rPr>
          <w:rFonts w:ascii="Times New Roman" w:hAnsi="Times New Roman" w:cs="Times New Roman"/>
          <w:sz w:val="20"/>
        </w:rPr>
        <w:t>19</w:t>
      </w:r>
      <w:r w:rsidRPr="00A62F97">
        <w:rPr>
          <w:rFonts w:ascii="Times New Roman" w:hAnsi="Times New Roman" w:cs="Times New Roman"/>
          <w:sz w:val="20"/>
        </w:rPr>
        <w:t xml:space="preserve">78.06.15 </w:t>
      </w:r>
      <w:r w:rsidR="00347007" w:rsidRPr="00A62F97">
        <w:rPr>
          <w:rFonts w:ascii="Times New Roman" w:hAnsi="Times New Roman" w:cs="Times New Roman"/>
          <w:sz w:val="20"/>
        </w:rPr>
        <w:t xml:space="preserve">Promulgated via </w:t>
      </w:r>
      <w:r w:rsidRPr="00A62F97">
        <w:rPr>
          <w:rFonts w:ascii="Times New Roman" w:hAnsi="Times New Roman" w:cs="Times New Roman"/>
          <w:sz w:val="20"/>
        </w:rPr>
        <w:t>(67)</w:t>
      </w:r>
      <w:r>
        <w:rPr>
          <w:rFonts w:ascii="Times New Roman" w:hAnsi="Times New Roman" w:cs="Times New Roman"/>
          <w:sz w:val="20"/>
        </w:rPr>
        <w:t xml:space="preserve"> </w:t>
      </w:r>
      <w:proofErr w:type="spellStart"/>
      <w:r w:rsidRPr="00A62F97">
        <w:rPr>
          <w:rFonts w:ascii="Times New Roman" w:eastAsia="標楷體" w:hAnsi="Times New Roman" w:cs="Times New Roman"/>
          <w:sz w:val="20"/>
          <w:szCs w:val="16"/>
        </w:rPr>
        <w:t>GaoYiRenZi</w:t>
      </w:r>
      <w:proofErr w:type="spellEnd"/>
      <w:r w:rsidRPr="00A62F97">
        <w:rPr>
          <w:rFonts w:ascii="Times New Roman" w:eastAsia="標楷體" w:hAnsi="Times New Roman" w:cs="Times New Roman"/>
          <w:sz w:val="20"/>
          <w:szCs w:val="16"/>
        </w:rPr>
        <w:t xml:space="preserve"> No. 1317 Letter</w:t>
      </w:r>
    </w:p>
    <w:p w14:paraId="1CB2C9B5" w14:textId="40E50150" w:rsidR="00347007" w:rsidRPr="00A62F97" w:rsidRDefault="00A62F97" w:rsidP="008A7444">
      <w:pPr>
        <w:spacing w:after="0" w:line="280" w:lineRule="exact"/>
        <w:ind w:left="720"/>
        <w:jc w:val="right"/>
        <w:rPr>
          <w:rFonts w:ascii="Times New Roman" w:hAnsi="Times New Roman" w:cs="Times New Roman"/>
          <w:sz w:val="20"/>
        </w:rPr>
      </w:pPr>
      <w:r w:rsidRPr="00A62F97">
        <w:rPr>
          <w:rFonts w:ascii="Times New Roman" w:hAnsi="Times New Roman" w:cs="Times New Roman"/>
          <w:sz w:val="20"/>
        </w:rPr>
        <w:t xml:space="preserve">2002.02.22 </w:t>
      </w:r>
      <w:r w:rsidR="00347007" w:rsidRPr="00A62F97">
        <w:rPr>
          <w:rFonts w:ascii="Times New Roman" w:hAnsi="Times New Roman" w:cs="Times New Roman"/>
          <w:sz w:val="20"/>
        </w:rPr>
        <w:t xml:space="preserve">Issued via </w:t>
      </w:r>
      <w:r w:rsidRPr="00A62F97">
        <w:rPr>
          <w:rFonts w:ascii="Times New Roman" w:hAnsi="Times New Roman" w:cs="Times New Roman"/>
          <w:sz w:val="20"/>
        </w:rPr>
        <w:t>(</w:t>
      </w:r>
      <w:r>
        <w:rPr>
          <w:rFonts w:ascii="Times New Roman" w:hAnsi="Times New Roman" w:cs="Times New Roman"/>
          <w:sz w:val="20"/>
        </w:rPr>
        <w:t>91</w:t>
      </w:r>
      <w:r w:rsidRPr="00A62F97">
        <w:rPr>
          <w:rFonts w:ascii="Times New Roman" w:hAnsi="Times New Roman" w:cs="Times New Roman"/>
          <w:sz w:val="20"/>
        </w:rPr>
        <w:t>)</w:t>
      </w:r>
      <w:r>
        <w:rPr>
          <w:rFonts w:ascii="Times New Roman" w:hAnsi="Times New Roman" w:cs="Times New Roman"/>
          <w:sz w:val="20"/>
        </w:rPr>
        <w:t xml:space="preserve"> </w:t>
      </w:r>
      <w:proofErr w:type="spellStart"/>
      <w:r w:rsidRPr="00A62F97">
        <w:rPr>
          <w:rFonts w:ascii="Times New Roman" w:eastAsia="標楷體" w:hAnsi="Times New Roman" w:cs="Times New Roman"/>
          <w:sz w:val="20"/>
          <w:szCs w:val="16"/>
        </w:rPr>
        <w:t>GaoYi</w:t>
      </w:r>
      <w:r>
        <w:rPr>
          <w:rFonts w:ascii="Times New Roman" w:eastAsia="標楷體" w:hAnsi="Times New Roman" w:cs="Times New Roman"/>
          <w:sz w:val="20"/>
          <w:szCs w:val="16"/>
        </w:rPr>
        <w:t>HsiaoFa</w:t>
      </w:r>
      <w:r w:rsidRPr="00A62F97">
        <w:rPr>
          <w:rFonts w:ascii="Times New Roman" w:eastAsia="標楷體" w:hAnsi="Times New Roman" w:cs="Times New Roman"/>
          <w:sz w:val="20"/>
          <w:szCs w:val="16"/>
        </w:rPr>
        <w:t>Zi</w:t>
      </w:r>
      <w:proofErr w:type="spellEnd"/>
      <w:r w:rsidRPr="00A62F97">
        <w:rPr>
          <w:rFonts w:ascii="Times New Roman" w:eastAsia="標楷體" w:hAnsi="Times New Roman" w:cs="Times New Roman"/>
          <w:sz w:val="20"/>
          <w:szCs w:val="16"/>
        </w:rPr>
        <w:t xml:space="preserve"> No. </w:t>
      </w:r>
      <w:r>
        <w:rPr>
          <w:rFonts w:ascii="Times New Roman" w:eastAsia="標楷體" w:hAnsi="Times New Roman" w:cs="Times New Roman"/>
          <w:sz w:val="20"/>
          <w:szCs w:val="16"/>
        </w:rPr>
        <w:t>005</w:t>
      </w:r>
      <w:r w:rsidRPr="00A62F97">
        <w:rPr>
          <w:rFonts w:ascii="Times New Roman" w:eastAsia="標楷體" w:hAnsi="Times New Roman" w:cs="Times New Roman"/>
          <w:sz w:val="20"/>
          <w:szCs w:val="16"/>
        </w:rPr>
        <w:t xml:space="preserve"> Letter</w:t>
      </w:r>
    </w:p>
    <w:p w14:paraId="11F0D636" w14:textId="2C786AD6" w:rsidR="00347007" w:rsidRPr="00A62F97" w:rsidRDefault="00A62F97" w:rsidP="008A7444">
      <w:pPr>
        <w:spacing w:after="0" w:line="280" w:lineRule="exact"/>
        <w:ind w:left="720"/>
        <w:jc w:val="right"/>
        <w:rPr>
          <w:rFonts w:ascii="Times New Roman" w:hAnsi="Times New Roman" w:cs="Times New Roman"/>
          <w:sz w:val="20"/>
        </w:rPr>
      </w:pPr>
      <w:r>
        <w:rPr>
          <w:rFonts w:ascii="Times New Roman" w:hAnsi="Times New Roman" w:cs="Times New Roman"/>
          <w:sz w:val="20"/>
        </w:rPr>
        <w:t>2008.04.17 Passed</w:t>
      </w:r>
      <w:r w:rsidR="00347007" w:rsidRPr="00A62F97">
        <w:rPr>
          <w:rFonts w:ascii="Times New Roman" w:hAnsi="Times New Roman" w:cs="Times New Roman"/>
          <w:sz w:val="20"/>
        </w:rPr>
        <w:t xml:space="preserve"> at the 5th </w:t>
      </w:r>
      <w:r>
        <w:rPr>
          <w:rFonts w:ascii="Times New Roman" w:hAnsi="Times New Roman" w:cs="Times New Roman"/>
          <w:sz w:val="20"/>
        </w:rPr>
        <w:t>University Council</w:t>
      </w:r>
      <w:r w:rsidR="00347007" w:rsidRPr="00A62F97">
        <w:rPr>
          <w:rFonts w:ascii="Times New Roman" w:hAnsi="Times New Roman" w:cs="Times New Roman"/>
          <w:sz w:val="20"/>
        </w:rPr>
        <w:t xml:space="preserve"> of </w:t>
      </w:r>
      <w:r>
        <w:rPr>
          <w:rFonts w:ascii="Times New Roman" w:hAnsi="Times New Roman" w:cs="Times New Roman"/>
          <w:sz w:val="20"/>
        </w:rPr>
        <w:t>the 96</w:t>
      </w:r>
      <w:r w:rsidRPr="00A62F97">
        <w:rPr>
          <w:rFonts w:ascii="Times New Roman" w:hAnsi="Times New Roman" w:cs="Times New Roman"/>
          <w:sz w:val="20"/>
          <w:vertAlign w:val="superscript"/>
        </w:rPr>
        <w:t>th</w:t>
      </w:r>
      <w:r>
        <w:rPr>
          <w:rFonts w:ascii="Times New Roman" w:hAnsi="Times New Roman" w:cs="Times New Roman"/>
          <w:sz w:val="20"/>
        </w:rPr>
        <w:t xml:space="preserve"> </w:t>
      </w:r>
      <w:r w:rsidR="00347007" w:rsidRPr="00A62F97">
        <w:rPr>
          <w:rFonts w:ascii="Times New Roman" w:hAnsi="Times New Roman" w:cs="Times New Roman"/>
          <w:sz w:val="20"/>
        </w:rPr>
        <w:t>Academic Year</w:t>
      </w:r>
    </w:p>
    <w:p w14:paraId="5F568498" w14:textId="5A10A5D1" w:rsidR="00347007" w:rsidRPr="00A62F97" w:rsidRDefault="004E5A3A" w:rsidP="008A7444">
      <w:pPr>
        <w:spacing w:after="0" w:line="280" w:lineRule="exact"/>
        <w:ind w:left="720"/>
        <w:jc w:val="right"/>
        <w:rPr>
          <w:rFonts w:ascii="Times New Roman" w:hAnsi="Times New Roman" w:cs="Times New Roman"/>
          <w:sz w:val="20"/>
        </w:rPr>
      </w:pPr>
      <w:r>
        <w:rPr>
          <w:rFonts w:ascii="Times New Roman" w:hAnsi="Times New Roman" w:cs="Times New Roman"/>
          <w:sz w:val="20"/>
        </w:rPr>
        <w:t xml:space="preserve">2008.07.22 Passed </w:t>
      </w:r>
      <w:r w:rsidR="00347007" w:rsidRPr="00A62F97">
        <w:rPr>
          <w:rFonts w:ascii="Times New Roman" w:hAnsi="Times New Roman" w:cs="Times New Roman"/>
          <w:sz w:val="20"/>
        </w:rPr>
        <w:t xml:space="preserve">at the 2nd Meeting of the 16th Board of </w:t>
      </w:r>
      <w:r>
        <w:rPr>
          <w:rFonts w:ascii="Times New Roman" w:hAnsi="Times New Roman" w:cs="Times New Roman"/>
          <w:sz w:val="20"/>
        </w:rPr>
        <w:t>Directors</w:t>
      </w:r>
    </w:p>
    <w:p w14:paraId="1529B727" w14:textId="256292D2" w:rsidR="00347007" w:rsidRPr="00A62F97" w:rsidRDefault="004E5A3A" w:rsidP="008A7444">
      <w:pPr>
        <w:spacing w:after="0" w:line="280" w:lineRule="exact"/>
        <w:ind w:left="720"/>
        <w:jc w:val="right"/>
        <w:rPr>
          <w:rFonts w:ascii="Times New Roman" w:hAnsi="Times New Roman" w:cs="Times New Roman"/>
          <w:sz w:val="20"/>
        </w:rPr>
      </w:pPr>
      <w:r>
        <w:rPr>
          <w:rFonts w:ascii="Times New Roman" w:hAnsi="Times New Roman" w:cs="Times New Roman"/>
          <w:sz w:val="20"/>
        </w:rPr>
        <w:t xml:space="preserve">2008.08.07 </w:t>
      </w:r>
      <w:r w:rsidR="00347007" w:rsidRPr="00A62F97">
        <w:rPr>
          <w:rFonts w:ascii="Times New Roman" w:hAnsi="Times New Roman" w:cs="Times New Roman"/>
          <w:sz w:val="20"/>
        </w:rPr>
        <w:t xml:space="preserve">Promulgated via </w:t>
      </w:r>
      <w:proofErr w:type="spellStart"/>
      <w:r w:rsidRPr="00A62F97">
        <w:rPr>
          <w:rFonts w:ascii="Times New Roman" w:eastAsia="標楷體" w:hAnsi="Times New Roman" w:cs="Times New Roman"/>
          <w:sz w:val="20"/>
          <w:szCs w:val="16"/>
        </w:rPr>
        <w:t>GaoYiRenZi</w:t>
      </w:r>
      <w:proofErr w:type="spellEnd"/>
      <w:r w:rsidRPr="00A62F97">
        <w:rPr>
          <w:rFonts w:ascii="Times New Roman" w:eastAsia="標楷體" w:hAnsi="Times New Roman" w:cs="Times New Roman"/>
          <w:sz w:val="20"/>
          <w:szCs w:val="16"/>
        </w:rPr>
        <w:t xml:space="preserve"> No. </w:t>
      </w:r>
      <w:r>
        <w:rPr>
          <w:rFonts w:ascii="Times New Roman" w:eastAsia="標楷體" w:hAnsi="Times New Roman" w:cs="Times New Roman"/>
          <w:sz w:val="20"/>
          <w:szCs w:val="16"/>
        </w:rPr>
        <w:t>0971103519</w:t>
      </w:r>
      <w:r w:rsidRPr="00A62F97">
        <w:rPr>
          <w:rFonts w:ascii="Times New Roman" w:eastAsia="標楷體" w:hAnsi="Times New Roman" w:cs="Times New Roman"/>
          <w:sz w:val="20"/>
          <w:szCs w:val="16"/>
        </w:rPr>
        <w:t xml:space="preserve"> Letter</w:t>
      </w:r>
    </w:p>
    <w:p w14:paraId="7C641746" w14:textId="73453C1B" w:rsidR="00347007" w:rsidRPr="00A62F97" w:rsidRDefault="00662141" w:rsidP="008A7444">
      <w:pPr>
        <w:spacing w:after="0" w:line="280" w:lineRule="exact"/>
        <w:ind w:left="720"/>
        <w:jc w:val="right"/>
        <w:rPr>
          <w:rFonts w:ascii="Times New Roman" w:hAnsi="Times New Roman" w:cs="Times New Roman"/>
          <w:sz w:val="20"/>
        </w:rPr>
      </w:pPr>
      <w:r>
        <w:rPr>
          <w:rFonts w:ascii="Times New Roman" w:hAnsi="Times New Roman" w:cs="Times New Roman"/>
          <w:sz w:val="20"/>
        </w:rPr>
        <w:t>2013.02.07 Passed</w:t>
      </w:r>
      <w:r w:rsidR="00347007" w:rsidRPr="00A62F97">
        <w:rPr>
          <w:rFonts w:ascii="Times New Roman" w:hAnsi="Times New Roman" w:cs="Times New Roman"/>
          <w:sz w:val="20"/>
        </w:rPr>
        <w:t xml:space="preserve"> at the 2nd </w:t>
      </w:r>
      <w:r>
        <w:rPr>
          <w:rFonts w:ascii="Times New Roman" w:hAnsi="Times New Roman" w:cs="Times New Roman"/>
          <w:sz w:val="20"/>
        </w:rPr>
        <w:t>University Council</w:t>
      </w:r>
      <w:r w:rsidR="00347007" w:rsidRPr="00A62F97">
        <w:rPr>
          <w:rFonts w:ascii="Times New Roman" w:hAnsi="Times New Roman" w:cs="Times New Roman"/>
          <w:sz w:val="20"/>
        </w:rPr>
        <w:t xml:space="preserve"> of </w:t>
      </w:r>
      <w:r>
        <w:rPr>
          <w:rFonts w:ascii="Times New Roman" w:hAnsi="Times New Roman" w:cs="Times New Roman"/>
          <w:sz w:val="20"/>
        </w:rPr>
        <w:t>the 101</w:t>
      </w:r>
      <w:r w:rsidRPr="00662141">
        <w:rPr>
          <w:rFonts w:ascii="Times New Roman" w:hAnsi="Times New Roman" w:cs="Times New Roman"/>
          <w:sz w:val="20"/>
          <w:vertAlign w:val="superscript"/>
        </w:rPr>
        <w:t>st</w:t>
      </w:r>
      <w:r>
        <w:rPr>
          <w:rFonts w:ascii="Times New Roman" w:hAnsi="Times New Roman" w:cs="Times New Roman"/>
          <w:sz w:val="20"/>
        </w:rPr>
        <w:t xml:space="preserve"> </w:t>
      </w:r>
      <w:r w:rsidR="00347007" w:rsidRPr="00A62F97">
        <w:rPr>
          <w:rFonts w:ascii="Times New Roman" w:hAnsi="Times New Roman" w:cs="Times New Roman"/>
          <w:sz w:val="20"/>
        </w:rPr>
        <w:t>Academic Year</w:t>
      </w:r>
    </w:p>
    <w:p w14:paraId="26DDDCE8" w14:textId="08EC62BB" w:rsidR="00347007" w:rsidRPr="00A62F97" w:rsidRDefault="00662141" w:rsidP="008A7444">
      <w:pPr>
        <w:spacing w:after="0" w:line="280" w:lineRule="exact"/>
        <w:ind w:left="720"/>
        <w:jc w:val="right"/>
        <w:rPr>
          <w:rFonts w:ascii="Times New Roman" w:hAnsi="Times New Roman" w:cs="Times New Roman"/>
          <w:sz w:val="20"/>
        </w:rPr>
      </w:pPr>
      <w:r>
        <w:rPr>
          <w:rFonts w:ascii="Times New Roman" w:hAnsi="Times New Roman" w:cs="Times New Roman"/>
          <w:sz w:val="20"/>
        </w:rPr>
        <w:t xml:space="preserve">2013.02.22 Passed </w:t>
      </w:r>
      <w:r w:rsidR="00347007" w:rsidRPr="00A62F97">
        <w:rPr>
          <w:rFonts w:ascii="Times New Roman" w:hAnsi="Times New Roman" w:cs="Times New Roman"/>
          <w:sz w:val="20"/>
        </w:rPr>
        <w:t xml:space="preserve">at the 4th Meeting of the 17th Board of </w:t>
      </w:r>
      <w:r>
        <w:rPr>
          <w:rFonts w:ascii="Times New Roman" w:hAnsi="Times New Roman" w:cs="Times New Roman"/>
          <w:sz w:val="20"/>
        </w:rPr>
        <w:t>Directors</w:t>
      </w:r>
    </w:p>
    <w:p w14:paraId="28706927" w14:textId="1EA97DE9" w:rsidR="00347007" w:rsidRPr="00A62F97" w:rsidRDefault="00662141" w:rsidP="008A7444">
      <w:pPr>
        <w:spacing w:after="0" w:line="280" w:lineRule="exact"/>
        <w:ind w:left="720"/>
        <w:jc w:val="right"/>
        <w:rPr>
          <w:rFonts w:ascii="Times New Roman" w:hAnsi="Times New Roman" w:cs="Times New Roman"/>
          <w:sz w:val="20"/>
        </w:rPr>
      </w:pPr>
      <w:r>
        <w:rPr>
          <w:rFonts w:ascii="Times New Roman" w:hAnsi="Times New Roman" w:cs="Times New Roman"/>
          <w:sz w:val="20"/>
        </w:rPr>
        <w:t>2013.04.01</w:t>
      </w:r>
      <w:r w:rsidR="00347007" w:rsidRPr="00A62F97">
        <w:rPr>
          <w:rFonts w:ascii="Times New Roman" w:hAnsi="Times New Roman" w:cs="Times New Roman"/>
          <w:sz w:val="20"/>
        </w:rPr>
        <w:t xml:space="preserve">Promulgated via </w:t>
      </w:r>
      <w:proofErr w:type="spellStart"/>
      <w:r w:rsidRPr="00A62F97">
        <w:rPr>
          <w:rFonts w:ascii="Times New Roman" w:eastAsia="標楷體" w:hAnsi="Times New Roman" w:cs="Times New Roman"/>
          <w:sz w:val="20"/>
          <w:szCs w:val="16"/>
        </w:rPr>
        <w:t>GaoYiRenZi</w:t>
      </w:r>
      <w:proofErr w:type="spellEnd"/>
      <w:r w:rsidRPr="00A62F97">
        <w:rPr>
          <w:rFonts w:ascii="Times New Roman" w:eastAsia="標楷體" w:hAnsi="Times New Roman" w:cs="Times New Roman"/>
          <w:sz w:val="20"/>
          <w:szCs w:val="16"/>
        </w:rPr>
        <w:t xml:space="preserve"> No. </w:t>
      </w:r>
      <w:r>
        <w:rPr>
          <w:rFonts w:ascii="Times New Roman" w:eastAsia="標楷體" w:hAnsi="Times New Roman" w:cs="Times New Roman"/>
          <w:sz w:val="20"/>
          <w:szCs w:val="16"/>
        </w:rPr>
        <w:t xml:space="preserve">1021100909 </w:t>
      </w:r>
      <w:r w:rsidRPr="00A62F97">
        <w:rPr>
          <w:rFonts w:ascii="Times New Roman" w:eastAsia="標楷體" w:hAnsi="Times New Roman" w:cs="Times New Roman"/>
          <w:sz w:val="20"/>
          <w:szCs w:val="16"/>
        </w:rPr>
        <w:t>Letter</w:t>
      </w:r>
    </w:p>
    <w:p w14:paraId="583A81EE" w14:textId="77777777" w:rsidR="00463805" w:rsidRPr="00463805" w:rsidRDefault="00463805" w:rsidP="00463805">
      <w:pPr>
        <w:spacing w:after="0" w:line="460" w:lineRule="exact"/>
        <w:rPr>
          <w:rFonts w:ascii="Times New Roman" w:hAnsi="Times New Roman" w:cs="Times New Roman"/>
          <w:b/>
          <w:bC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7"/>
      </w:tblGrid>
      <w:tr w:rsidR="00463805" w:rsidRPr="00463805" w14:paraId="181926A0" w14:textId="77777777" w:rsidTr="00662141">
        <w:tc>
          <w:tcPr>
            <w:tcW w:w="1271" w:type="dxa"/>
          </w:tcPr>
          <w:p w14:paraId="112A1267" w14:textId="4A0C0F0B"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b/>
                <w:bCs/>
              </w:rPr>
              <w:t>Article 1</w:t>
            </w:r>
          </w:p>
        </w:tc>
        <w:tc>
          <w:tcPr>
            <w:tcW w:w="8357" w:type="dxa"/>
          </w:tcPr>
          <w:p w14:paraId="1610A867" w14:textId="3F3FF931"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rPr>
              <w:t>In order to meet the needs of the University's development, enhance the standards of teaching and research, strengthen academic exchange, and recruit distinguished scholars and specialists from home and abroad to engage in lecturing and research work, these Regulations are hereby established.</w:t>
            </w:r>
          </w:p>
        </w:tc>
      </w:tr>
      <w:tr w:rsidR="00463805" w:rsidRPr="00463805" w14:paraId="52EF1E84" w14:textId="77777777" w:rsidTr="00662141">
        <w:tc>
          <w:tcPr>
            <w:tcW w:w="1271" w:type="dxa"/>
          </w:tcPr>
          <w:p w14:paraId="17EB8C3D" w14:textId="7A78791D"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b/>
                <w:bCs/>
              </w:rPr>
              <w:t>Article 2</w:t>
            </w:r>
          </w:p>
        </w:tc>
        <w:tc>
          <w:tcPr>
            <w:tcW w:w="8357" w:type="dxa"/>
          </w:tcPr>
          <w:p w14:paraId="766116BE" w14:textId="77777777" w:rsidR="00463805" w:rsidRPr="00347007" w:rsidRDefault="00463805" w:rsidP="005364AC">
            <w:pPr>
              <w:spacing w:line="380" w:lineRule="exact"/>
              <w:rPr>
                <w:rFonts w:ascii="Times New Roman" w:hAnsi="Times New Roman" w:cs="Times New Roman"/>
              </w:rPr>
            </w:pPr>
            <w:r w:rsidRPr="00347007">
              <w:rPr>
                <w:rFonts w:ascii="Times New Roman" w:hAnsi="Times New Roman" w:cs="Times New Roman"/>
              </w:rPr>
              <w:t>Visiting Professors and Visiting Associate Professors must meet one of th</w:t>
            </w:r>
            <w:bookmarkStart w:id="0" w:name="_GoBack"/>
            <w:bookmarkEnd w:id="0"/>
            <w:r w:rsidRPr="00347007">
              <w:rPr>
                <w:rFonts w:ascii="Times New Roman" w:hAnsi="Times New Roman" w:cs="Times New Roman"/>
              </w:rPr>
              <w:t>e following qualifications:</w:t>
            </w:r>
          </w:p>
          <w:p w14:paraId="05B2677F" w14:textId="77777777" w:rsidR="00463805" w:rsidRPr="00EB4120" w:rsidRDefault="00463805" w:rsidP="005364AC">
            <w:pPr>
              <w:spacing w:line="380" w:lineRule="exact"/>
              <w:rPr>
                <w:rFonts w:ascii="Times New Roman" w:hAnsi="Times New Roman" w:cs="Times New Roman"/>
              </w:rPr>
            </w:pPr>
            <w:r w:rsidRPr="00EB4120">
              <w:rPr>
                <w:rFonts w:ascii="Times New Roman" w:hAnsi="Times New Roman" w:cs="Times New Roman"/>
                <w:bCs/>
              </w:rPr>
              <w:t>I. Visiting Professor:</w:t>
            </w:r>
          </w:p>
          <w:p w14:paraId="28392484" w14:textId="77777777" w:rsidR="00463805" w:rsidRPr="00347007" w:rsidRDefault="00463805" w:rsidP="005364AC">
            <w:pPr>
              <w:numPr>
                <w:ilvl w:val="0"/>
                <w:numId w:val="2"/>
              </w:numPr>
              <w:spacing w:line="380" w:lineRule="exact"/>
              <w:rPr>
                <w:rFonts w:ascii="Times New Roman" w:hAnsi="Times New Roman" w:cs="Times New Roman"/>
              </w:rPr>
            </w:pPr>
            <w:r w:rsidRPr="00347007">
              <w:rPr>
                <w:rFonts w:ascii="Times New Roman" w:hAnsi="Times New Roman" w:cs="Times New Roman"/>
              </w:rPr>
              <w:t>Individuals who have served as a professor at a domestic or foreign university or graduate school with notable accomplishments.</w:t>
            </w:r>
          </w:p>
          <w:p w14:paraId="333AAA54" w14:textId="77777777" w:rsidR="00463805" w:rsidRPr="00347007" w:rsidRDefault="00463805" w:rsidP="005364AC">
            <w:pPr>
              <w:numPr>
                <w:ilvl w:val="0"/>
                <w:numId w:val="2"/>
              </w:numPr>
              <w:spacing w:line="380" w:lineRule="exact"/>
              <w:rPr>
                <w:rFonts w:ascii="Times New Roman" w:hAnsi="Times New Roman" w:cs="Times New Roman"/>
              </w:rPr>
            </w:pPr>
            <w:r w:rsidRPr="00347007">
              <w:rPr>
                <w:rFonts w:ascii="Times New Roman" w:hAnsi="Times New Roman" w:cs="Times New Roman"/>
              </w:rPr>
              <w:t>Individuals who have served as an Associate Professor (or an equivalent position) at a domestic or foreign university or graduate school for three or more years with notable accomplishments and who have produced significant scholarly works.</w:t>
            </w:r>
          </w:p>
          <w:p w14:paraId="6CA53234" w14:textId="77777777" w:rsidR="00463805" w:rsidRPr="00347007" w:rsidRDefault="00463805" w:rsidP="005364AC">
            <w:pPr>
              <w:numPr>
                <w:ilvl w:val="0"/>
                <w:numId w:val="2"/>
              </w:numPr>
              <w:spacing w:line="380" w:lineRule="exact"/>
              <w:rPr>
                <w:rFonts w:ascii="Times New Roman" w:hAnsi="Times New Roman" w:cs="Times New Roman"/>
              </w:rPr>
            </w:pPr>
            <w:r w:rsidRPr="00347007">
              <w:rPr>
                <w:rFonts w:ascii="Times New Roman" w:hAnsi="Times New Roman" w:cs="Times New Roman"/>
              </w:rPr>
              <w:t>Individuals who, after obtaining a doctoral degree (Ph.D. obtained through a doctoral program) or an equivalent credential from a domestic or foreign university or research institution, have continued research at a research institution or engaged in a specialized profession related to their field of study for three or more years and have made important contributions to academia.</w:t>
            </w:r>
          </w:p>
          <w:p w14:paraId="1883DEFE" w14:textId="77777777" w:rsidR="00463805" w:rsidRPr="00347007" w:rsidRDefault="00463805" w:rsidP="005364AC">
            <w:pPr>
              <w:numPr>
                <w:ilvl w:val="0"/>
                <w:numId w:val="2"/>
              </w:numPr>
              <w:spacing w:line="380" w:lineRule="exact"/>
              <w:rPr>
                <w:rFonts w:ascii="Times New Roman" w:hAnsi="Times New Roman" w:cs="Times New Roman"/>
              </w:rPr>
            </w:pPr>
            <w:r w:rsidRPr="00347007">
              <w:rPr>
                <w:rFonts w:ascii="Times New Roman" w:hAnsi="Times New Roman" w:cs="Times New Roman"/>
              </w:rPr>
              <w:t>Individuals who have served as an Assistant Professor at a foreign university for six or more years with particularly outstanding achievements and who have produced significant scholarly works.</w:t>
            </w:r>
          </w:p>
          <w:p w14:paraId="160E718B" w14:textId="77777777" w:rsidR="00463805" w:rsidRPr="00347007" w:rsidRDefault="00463805" w:rsidP="005364AC">
            <w:pPr>
              <w:numPr>
                <w:ilvl w:val="0"/>
                <w:numId w:val="2"/>
              </w:numPr>
              <w:spacing w:line="380" w:lineRule="exact"/>
              <w:rPr>
                <w:rFonts w:ascii="Times New Roman" w:hAnsi="Times New Roman" w:cs="Times New Roman"/>
              </w:rPr>
            </w:pPr>
            <w:r w:rsidRPr="00347007">
              <w:rPr>
                <w:rFonts w:ascii="Times New Roman" w:hAnsi="Times New Roman" w:cs="Times New Roman"/>
              </w:rPr>
              <w:t>Individuals who have graduated from a domestic or foreign university with a bachelor's degree, with excellent academic performance, and have continued research at a research institution or engaged in a specialized profession or position related to their field of study for ten or more years with notable accomplishments and who have produced specialized scholarly works.</w:t>
            </w:r>
          </w:p>
          <w:p w14:paraId="4326AEF9" w14:textId="77777777" w:rsidR="00463805" w:rsidRPr="00EB4120" w:rsidRDefault="00463805" w:rsidP="005364AC">
            <w:pPr>
              <w:spacing w:line="380" w:lineRule="exact"/>
              <w:rPr>
                <w:rFonts w:ascii="Times New Roman" w:hAnsi="Times New Roman" w:cs="Times New Roman"/>
              </w:rPr>
            </w:pPr>
            <w:r w:rsidRPr="00EB4120">
              <w:rPr>
                <w:rFonts w:ascii="Times New Roman" w:hAnsi="Times New Roman" w:cs="Times New Roman"/>
                <w:bCs/>
              </w:rPr>
              <w:t>II. Visiting Associate Professor:</w:t>
            </w:r>
          </w:p>
          <w:p w14:paraId="3E135941" w14:textId="77777777" w:rsidR="00463805" w:rsidRPr="00347007" w:rsidRDefault="00463805" w:rsidP="005364AC">
            <w:pPr>
              <w:numPr>
                <w:ilvl w:val="0"/>
                <w:numId w:val="3"/>
              </w:numPr>
              <w:spacing w:line="380" w:lineRule="exact"/>
              <w:rPr>
                <w:rFonts w:ascii="Times New Roman" w:hAnsi="Times New Roman" w:cs="Times New Roman"/>
              </w:rPr>
            </w:pPr>
            <w:r w:rsidRPr="00347007">
              <w:rPr>
                <w:rFonts w:ascii="Times New Roman" w:hAnsi="Times New Roman" w:cs="Times New Roman"/>
              </w:rPr>
              <w:lastRenderedPageBreak/>
              <w:t>Individuals who have served as an Associate Professor at a domestic or foreign university with notable accomplishments.</w:t>
            </w:r>
          </w:p>
          <w:p w14:paraId="0753E171" w14:textId="77777777" w:rsidR="00463805" w:rsidRPr="00347007" w:rsidRDefault="00463805" w:rsidP="005364AC">
            <w:pPr>
              <w:numPr>
                <w:ilvl w:val="0"/>
                <w:numId w:val="3"/>
              </w:numPr>
              <w:spacing w:line="380" w:lineRule="exact"/>
              <w:rPr>
                <w:rFonts w:ascii="Times New Roman" w:hAnsi="Times New Roman" w:cs="Times New Roman"/>
              </w:rPr>
            </w:pPr>
            <w:r w:rsidRPr="00347007">
              <w:rPr>
                <w:rFonts w:ascii="Times New Roman" w:hAnsi="Times New Roman" w:cs="Times New Roman"/>
              </w:rPr>
              <w:t>Individuals who have obtained a doctoral degree or an equivalent credential from a domestic or foreign university or research institution with excellent academic performance and who have produced specialized scholarly works.</w:t>
            </w:r>
          </w:p>
          <w:p w14:paraId="37FC62D3" w14:textId="77777777" w:rsidR="00463805" w:rsidRPr="00347007" w:rsidRDefault="00463805" w:rsidP="005364AC">
            <w:pPr>
              <w:numPr>
                <w:ilvl w:val="0"/>
                <w:numId w:val="3"/>
              </w:numPr>
              <w:spacing w:line="380" w:lineRule="exact"/>
              <w:rPr>
                <w:rFonts w:ascii="Times New Roman" w:hAnsi="Times New Roman" w:cs="Times New Roman"/>
              </w:rPr>
            </w:pPr>
            <w:r w:rsidRPr="00347007">
              <w:rPr>
                <w:rFonts w:ascii="Times New Roman" w:hAnsi="Times New Roman" w:cs="Times New Roman"/>
              </w:rPr>
              <w:t>Individuals who, after obtaining a master's degree or an equivalent credential from a domestic or foreign university or research institution, have continued research at a research institution or engaged in a specialized profession related to their field of study for three or more years with notable accomplishments and who have produced specialized scholarly works.</w:t>
            </w:r>
          </w:p>
          <w:p w14:paraId="68680A06" w14:textId="77777777" w:rsidR="00463805" w:rsidRPr="00347007" w:rsidRDefault="00463805" w:rsidP="005364AC">
            <w:pPr>
              <w:numPr>
                <w:ilvl w:val="0"/>
                <w:numId w:val="3"/>
              </w:numPr>
              <w:spacing w:line="380" w:lineRule="exact"/>
              <w:rPr>
                <w:rFonts w:ascii="Times New Roman" w:hAnsi="Times New Roman" w:cs="Times New Roman"/>
              </w:rPr>
            </w:pPr>
            <w:r w:rsidRPr="00347007">
              <w:rPr>
                <w:rFonts w:ascii="Times New Roman" w:hAnsi="Times New Roman" w:cs="Times New Roman"/>
              </w:rPr>
              <w:t>Individuals who have served as a lecturer, assistant professor, or in an equivalent position at a foreign university for three or more years and who have produced specialized scholarly works.</w:t>
            </w:r>
          </w:p>
          <w:p w14:paraId="7A556C0E" w14:textId="77777777" w:rsidR="00463805" w:rsidRPr="00347007" w:rsidRDefault="00463805" w:rsidP="005364AC">
            <w:pPr>
              <w:numPr>
                <w:ilvl w:val="0"/>
                <w:numId w:val="3"/>
              </w:numPr>
              <w:spacing w:line="380" w:lineRule="exact"/>
              <w:rPr>
                <w:rFonts w:ascii="Times New Roman" w:hAnsi="Times New Roman" w:cs="Times New Roman"/>
              </w:rPr>
            </w:pPr>
            <w:r w:rsidRPr="00347007">
              <w:rPr>
                <w:rFonts w:ascii="Times New Roman" w:hAnsi="Times New Roman" w:cs="Times New Roman"/>
              </w:rPr>
              <w:t>Individuals who have obtained a bachelor's degree from a domestic or foreign university with excellent academic performance, have continued research at a research institution or engaged in a specialized profession or position related to their field of study for seven or more years, and have produced specialized scholarly works.</w:t>
            </w:r>
          </w:p>
          <w:p w14:paraId="426FB7E8" w14:textId="3A1F5A29" w:rsidR="00463805" w:rsidRPr="00463805" w:rsidRDefault="00463805" w:rsidP="00EB4120">
            <w:pPr>
              <w:spacing w:line="380" w:lineRule="exact"/>
              <w:ind w:left="317" w:hangingChars="132" w:hanging="317"/>
              <w:rPr>
                <w:rFonts w:ascii="Times New Roman" w:hAnsi="Times New Roman" w:cs="Times New Roman"/>
                <w:b/>
                <w:bCs/>
              </w:rPr>
            </w:pPr>
            <w:r w:rsidRPr="00EB4120">
              <w:rPr>
                <w:rFonts w:ascii="Times New Roman" w:hAnsi="Times New Roman" w:cs="Times New Roman"/>
                <w:bCs/>
              </w:rPr>
              <w:t>III.</w:t>
            </w:r>
            <w:r w:rsidRPr="00EB4120">
              <w:rPr>
                <w:rFonts w:ascii="Times New Roman" w:hAnsi="Times New Roman" w:cs="Times New Roman"/>
              </w:rPr>
              <w:t xml:space="preserve"> </w:t>
            </w:r>
            <w:r w:rsidRPr="00347007">
              <w:rPr>
                <w:rFonts w:ascii="Times New Roman" w:hAnsi="Times New Roman" w:cs="Times New Roman"/>
              </w:rPr>
              <w:t>The determination of significant academic achievements referred to in the preceding two subparagraphs shall be made by the University's Faculty Evaluation Committee.</w:t>
            </w:r>
          </w:p>
        </w:tc>
      </w:tr>
      <w:tr w:rsidR="00463805" w:rsidRPr="00463805" w14:paraId="567C7FCE" w14:textId="77777777" w:rsidTr="00662141">
        <w:tc>
          <w:tcPr>
            <w:tcW w:w="1271" w:type="dxa"/>
          </w:tcPr>
          <w:p w14:paraId="3A72829F" w14:textId="1C506519"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b/>
                <w:bCs/>
              </w:rPr>
              <w:lastRenderedPageBreak/>
              <w:t>Article 3</w:t>
            </w:r>
          </w:p>
        </w:tc>
        <w:tc>
          <w:tcPr>
            <w:tcW w:w="8357" w:type="dxa"/>
          </w:tcPr>
          <w:p w14:paraId="4614243E" w14:textId="77777777" w:rsidR="00463805" w:rsidRPr="00347007" w:rsidRDefault="00463805" w:rsidP="005364AC">
            <w:pPr>
              <w:spacing w:line="380" w:lineRule="exact"/>
              <w:rPr>
                <w:rFonts w:ascii="Times New Roman" w:hAnsi="Times New Roman" w:cs="Times New Roman"/>
              </w:rPr>
            </w:pPr>
            <w:r w:rsidRPr="00347007">
              <w:rPr>
                <w:rFonts w:ascii="Times New Roman" w:hAnsi="Times New Roman" w:cs="Times New Roman"/>
              </w:rPr>
              <w:t>Visiting Professors and Visiting Associate Professors shall be appointed upon recommendation by the head of the department (institute or center), approval by the dean of the college, authorization by the University President, and review and approval by the University's Faculty Evaluation Committee.</w:t>
            </w:r>
          </w:p>
          <w:p w14:paraId="0DBF43FB" w14:textId="77777777" w:rsidR="00463805" w:rsidRPr="00347007" w:rsidRDefault="00463805" w:rsidP="005364AC">
            <w:pPr>
              <w:spacing w:line="380" w:lineRule="exact"/>
              <w:rPr>
                <w:rFonts w:ascii="Times New Roman" w:hAnsi="Times New Roman" w:cs="Times New Roman"/>
              </w:rPr>
            </w:pPr>
            <w:r w:rsidRPr="00347007">
              <w:rPr>
                <w:rFonts w:ascii="Times New Roman" w:hAnsi="Times New Roman" w:cs="Times New Roman"/>
              </w:rPr>
              <w:t>When making a recommendation, the head of the department (institute or center) shall attach the following documents pertaining to the nominee:</w:t>
            </w:r>
          </w:p>
          <w:p w14:paraId="7D9FA568" w14:textId="77777777" w:rsidR="00463805" w:rsidRPr="00347007" w:rsidRDefault="00463805" w:rsidP="005364AC">
            <w:pPr>
              <w:numPr>
                <w:ilvl w:val="0"/>
                <w:numId w:val="4"/>
              </w:numPr>
              <w:tabs>
                <w:tab w:val="clear" w:pos="720"/>
              </w:tabs>
              <w:spacing w:line="380" w:lineRule="exact"/>
              <w:ind w:left="460"/>
              <w:rPr>
                <w:rFonts w:ascii="Times New Roman" w:hAnsi="Times New Roman" w:cs="Times New Roman"/>
              </w:rPr>
            </w:pPr>
            <w:r w:rsidRPr="00347007">
              <w:rPr>
                <w:rFonts w:ascii="Times New Roman" w:hAnsi="Times New Roman" w:cs="Times New Roman"/>
              </w:rPr>
              <w:t>One application form.</w:t>
            </w:r>
          </w:p>
          <w:p w14:paraId="709993F2" w14:textId="77777777" w:rsidR="00463805" w:rsidRPr="00347007" w:rsidRDefault="00463805" w:rsidP="005364AC">
            <w:pPr>
              <w:numPr>
                <w:ilvl w:val="0"/>
                <w:numId w:val="4"/>
              </w:numPr>
              <w:tabs>
                <w:tab w:val="clear" w:pos="720"/>
              </w:tabs>
              <w:spacing w:line="380" w:lineRule="exact"/>
              <w:ind w:left="460"/>
              <w:rPr>
                <w:rFonts w:ascii="Times New Roman" w:hAnsi="Times New Roman" w:cs="Times New Roman"/>
              </w:rPr>
            </w:pPr>
            <w:r w:rsidRPr="00347007">
              <w:rPr>
                <w:rFonts w:ascii="Times New Roman" w:hAnsi="Times New Roman" w:cs="Times New Roman"/>
              </w:rPr>
              <w:t>One copy each of documents certifying academic qualifications and work experience.</w:t>
            </w:r>
          </w:p>
          <w:p w14:paraId="4ECD8CD8" w14:textId="77777777" w:rsidR="00463805" w:rsidRPr="00347007" w:rsidRDefault="00463805" w:rsidP="005364AC">
            <w:pPr>
              <w:numPr>
                <w:ilvl w:val="0"/>
                <w:numId w:val="4"/>
              </w:numPr>
              <w:tabs>
                <w:tab w:val="clear" w:pos="720"/>
              </w:tabs>
              <w:spacing w:line="380" w:lineRule="exact"/>
              <w:ind w:left="460"/>
              <w:rPr>
                <w:rFonts w:ascii="Times New Roman" w:hAnsi="Times New Roman" w:cs="Times New Roman"/>
              </w:rPr>
            </w:pPr>
            <w:r w:rsidRPr="00347007">
              <w:rPr>
                <w:rFonts w:ascii="Times New Roman" w:hAnsi="Times New Roman" w:cs="Times New Roman"/>
              </w:rPr>
              <w:t>One list of publications.</w:t>
            </w:r>
          </w:p>
          <w:p w14:paraId="3EA123E5" w14:textId="7860E810" w:rsidR="00463805" w:rsidRDefault="00463805" w:rsidP="005364AC">
            <w:pPr>
              <w:numPr>
                <w:ilvl w:val="0"/>
                <w:numId w:val="4"/>
              </w:numPr>
              <w:tabs>
                <w:tab w:val="clear" w:pos="720"/>
              </w:tabs>
              <w:spacing w:line="380" w:lineRule="exact"/>
              <w:ind w:left="460"/>
              <w:rPr>
                <w:rFonts w:ascii="Times New Roman" w:hAnsi="Times New Roman" w:cs="Times New Roman"/>
              </w:rPr>
            </w:pPr>
            <w:r w:rsidRPr="00347007">
              <w:rPr>
                <w:rFonts w:ascii="Times New Roman" w:hAnsi="Times New Roman" w:cs="Times New Roman"/>
              </w:rPr>
              <w:t>One copy of the principal publication(s).</w:t>
            </w:r>
          </w:p>
          <w:p w14:paraId="5609F157" w14:textId="46EAD179" w:rsidR="00463805" w:rsidRPr="005364AC" w:rsidRDefault="00463805" w:rsidP="005364AC">
            <w:pPr>
              <w:numPr>
                <w:ilvl w:val="0"/>
                <w:numId w:val="4"/>
              </w:numPr>
              <w:tabs>
                <w:tab w:val="clear" w:pos="720"/>
              </w:tabs>
              <w:spacing w:line="380" w:lineRule="exact"/>
              <w:ind w:left="460"/>
              <w:rPr>
                <w:rFonts w:ascii="Times New Roman" w:hAnsi="Times New Roman" w:cs="Times New Roman"/>
              </w:rPr>
            </w:pPr>
            <w:r w:rsidRPr="005364AC">
              <w:rPr>
                <w:rFonts w:ascii="Times New Roman" w:hAnsi="Times New Roman" w:cs="Times New Roman"/>
              </w:rPr>
              <w:t>If appointment as a full-time Visiting Professor or Visiting Associate Professor is required based on teaching and research needs, the recommending unit shall additionally provide one copy of a teaching and research plan.</w:t>
            </w:r>
          </w:p>
        </w:tc>
      </w:tr>
      <w:tr w:rsidR="00463805" w:rsidRPr="00463805" w14:paraId="6886B765" w14:textId="77777777" w:rsidTr="00662141">
        <w:tc>
          <w:tcPr>
            <w:tcW w:w="1271" w:type="dxa"/>
          </w:tcPr>
          <w:p w14:paraId="013FDC94" w14:textId="532E22AE"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b/>
                <w:bCs/>
              </w:rPr>
              <w:t>Article 4</w:t>
            </w:r>
          </w:p>
        </w:tc>
        <w:tc>
          <w:tcPr>
            <w:tcW w:w="8357" w:type="dxa"/>
          </w:tcPr>
          <w:p w14:paraId="09FDCBF9" w14:textId="3B0F4A36"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rPr>
              <w:t xml:space="preserve">Visiting Professors and Visiting Associate Professors do not count toward the University's faculty quota. They shall be appointed based on actual needs, in principle for one year per appointment, and may be reappointed. The total </w:t>
            </w:r>
            <w:r w:rsidRPr="00347007">
              <w:rPr>
                <w:rFonts w:ascii="Times New Roman" w:hAnsi="Times New Roman" w:cs="Times New Roman"/>
              </w:rPr>
              <w:lastRenderedPageBreak/>
              <w:t>appointment period shall not exceed three years. However, exceptions may be made when authorized on a case-by-case basis due to needs of the University's development or research. Reappointment upon expiration shall be accompanied by documentation of teaching and research outcomes during the appointment period, and shall follow the original appointment procedure.</w:t>
            </w:r>
          </w:p>
        </w:tc>
      </w:tr>
      <w:tr w:rsidR="00463805" w:rsidRPr="00463805" w14:paraId="2B659153" w14:textId="77777777" w:rsidTr="00662141">
        <w:tc>
          <w:tcPr>
            <w:tcW w:w="1271" w:type="dxa"/>
          </w:tcPr>
          <w:p w14:paraId="13367BEB" w14:textId="4CC46476"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b/>
                <w:bCs/>
              </w:rPr>
              <w:lastRenderedPageBreak/>
              <w:t>Article 5</w:t>
            </w:r>
          </w:p>
        </w:tc>
        <w:tc>
          <w:tcPr>
            <w:tcW w:w="8357" w:type="dxa"/>
          </w:tcPr>
          <w:p w14:paraId="21A0C362" w14:textId="1656D914" w:rsidR="00463805" w:rsidRPr="00347007" w:rsidRDefault="00463805" w:rsidP="005364AC">
            <w:pPr>
              <w:spacing w:line="380" w:lineRule="exact"/>
              <w:rPr>
                <w:rFonts w:ascii="Times New Roman" w:hAnsi="Times New Roman" w:cs="Times New Roman"/>
              </w:rPr>
            </w:pPr>
            <w:r w:rsidRPr="00347007">
              <w:rPr>
                <w:rFonts w:ascii="Times New Roman" w:hAnsi="Times New Roman" w:cs="Times New Roman"/>
              </w:rPr>
              <w:t xml:space="preserve">Funding required for the appointment of Visiting Professors or Visiting Associate Professors shall, in principle, first be sought through applications for subsidies from external institutions (such as the Ministry of Education or the National Science </w:t>
            </w:r>
            <w:r w:rsidR="006E31A7">
              <w:rPr>
                <w:rFonts w:ascii="Times New Roman" w:hAnsi="Times New Roman" w:cs="Times New Roman"/>
              </w:rPr>
              <w:t xml:space="preserve">and Technology </w:t>
            </w:r>
            <w:r w:rsidRPr="00347007">
              <w:rPr>
                <w:rFonts w:ascii="Times New Roman" w:hAnsi="Times New Roman" w:cs="Times New Roman"/>
              </w:rPr>
              <w:t>Council), or shall be covered through relevant Ministry of Education project funding. If external funding is not granted or is insufficient, each unit shall, in principle, fund the appointment from self-raised funds.</w:t>
            </w:r>
          </w:p>
          <w:p w14:paraId="2C3C967A" w14:textId="2F745A4C"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rPr>
              <w:t>If the appointment is necessitated by the University's developmental needs, the University may provide the funding.</w:t>
            </w:r>
          </w:p>
        </w:tc>
      </w:tr>
      <w:tr w:rsidR="00463805" w:rsidRPr="00463805" w14:paraId="750E5C53" w14:textId="77777777" w:rsidTr="00662141">
        <w:tc>
          <w:tcPr>
            <w:tcW w:w="1271" w:type="dxa"/>
          </w:tcPr>
          <w:p w14:paraId="7284F02C" w14:textId="703F85B1"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b/>
                <w:bCs/>
              </w:rPr>
              <w:t>Article 6</w:t>
            </w:r>
          </w:p>
        </w:tc>
        <w:tc>
          <w:tcPr>
            <w:tcW w:w="8357" w:type="dxa"/>
          </w:tcPr>
          <w:p w14:paraId="19754B93" w14:textId="77777777" w:rsidR="00463805" w:rsidRPr="00DF21A3" w:rsidRDefault="00463805" w:rsidP="005364AC">
            <w:pPr>
              <w:spacing w:line="380" w:lineRule="exact"/>
              <w:rPr>
                <w:rFonts w:ascii="Times New Roman" w:hAnsi="Times New Roman" w:cs="Times New Roman"/>
              </w:rPr>
            </w:pPr>
            <w:r w:rsidRPr="00DF21A3">
              <w:rPr>
                <w:rFonts w:ascii="Times New Roman" w:hAnsi="Times New Roman" w:cs="Times New Roman"/>
              </w:rPr>
              <w:t>Remuneration and allowances for Visiting Professors and Visiting Associate Professors shall be as follows:</w:t>
            </w:r>
          </w:p>
          <w:p w14:paraId="43E1105B" w14:textId="77777777" w:rsidR="00463805" w:rsidRPr="00DF21A3" w:rsidRDefault="00463805" w:rsidP="005364AC">
            <w:pPr>
              <w:spacing w:line="380" w:lineRule="exact"/>
              <w:rPr>
                <w:rFonts w:ascii="Times New Roman" w:hAnsi="Times New Roman" w:cs="Times New Roman"/>
              </w:rPr>
            </w:pPr>
            <w:r w:rsidRPr="00DF21A3">
              <w:rPr>
                <w:rFonts w:ascii="Times New Roman" w:hAnsi="Times New Roman" w:cs="Times New Roman"/>
                <w:bCs/>
              </w:rPr>
              <w:t>Salary:</w:t>
            </w:r>
          </w:p>
          <w:p w14:paraId="2C3D579D" w14:textId="77777777" w:rsidR="00463805" w:rsidRPr="00DF21A3" w:rsidRDefault="00463805" w:rsidP="005364AC">
            <w:pPr>
              <w:numPr>
                <w:ilvl w:val="0"/>
                <w:numId w:val="5"/>
              </w:numPr>
              <w:spacing w:line="380" w:lineRule="exact"/>
              <w:rPr>
                <w:rFonts w:ascii="Times New Roman" w:hAnsi="Times New Roman" w:cs="Times New Roman"/>
              </w:rPr>
            </w:pPr>
            <w:r w:rsidRPr="00DF21A3">
              <w:rPr>
                <w:rFonts w:ascii="Times New Roman" w:hAnsi="Times New Roman" w:cs="Times New Roman"/>
              </w:rPr>
              <w:t>Salary shall be determined in accordance with the regulations governing full-time faculty of the University, and additional incentive awards shall be provided pursuant to the University's "Regulations for Recruiting Outstanding Foreign Talent."</w:t>
            </w:r>
          </w:p>
          <w:p w14:paraId="4856F2BC" w14:textId="77777777" w:rsidR="00463805" w:rsidRPr="00DF21A3" w:rsidRDefault="00463805" w:rsidP="005364AC">
            <w:pPr>
              <w:numPr>
                <w:ilvl w:val="0"/>
                <w:numId w:val="5"/>
              </w:numPr>
              <w:spacing w:line="380" w:lineRule="exact"/>
              <w:rPr>
                <w:rFonts w:ascii="Times New Roman" w:hAnsi="Times New Roman" w:cs="Times New Roman"/>
              </w:rPr>
            </w:pPr>
            <w:r w:rsidRPr="00DF21A3">
              <w:rPr>
                <w:rFonts w:ascii="Times New Roman" w:hAnsi="Times New Roman" w:cs="Times New Roman"/>
              </w:rPr>
              <w:t>For lecturing engagements of less than one month, remuneration shall be calculated on a daily basis according to the preceding subparagraph.</w:t>
            </w:r>
          </w:p>
          <w:p w14:paraId="4AAAE1D3" w14:textId="77777777" w:rsidR="00463805" w:rsidRPr="00DF21A3" w:rsidRDefault="00463805" w:rsidP="005364AC">
            <w:pPr>
              <w:spacing w:line="380" w:lineRule="exact"/>
              <w:rPr>
                <w:rFonts w:ascii="Times New Roman" w:hAnsi="Times New Roman" w:cs="Times New Roman"/>
              </w:rPr>
            </w:pPr>
            <w:r w:rsidRPr="00DF21A3">
              <w:rPr>
                <w:rFonts w:ascii="Times New Roman" w:hAnsi="Times New Roman" w:cs="Times New Roman"/>
                <w:bCs/>
              </w:rPr>
              <w:t>Travel Allowances:</w:t>
            </w:r>
          </w:p>
          <w:p w14:paraId="18A63917" w14:textId="77777777" w:rsidR="00463805" w:rsidRPr="00DF21A3" w:rsidRDefault="00463805" w:rsidP="005364AC">
            <w:pPr>
              <w:numPr>
                <w:ilvl w:val="0"/>
                <w:numId w:val="6"/>
              </w:numPr>
              <w:spacing w:line="380" w:lineRule="exact"/>
              <w:rPr>
                <w:rFonts w:ascii="Times New Roman" w:hAnsi="Times New Roman" w:cs="Times New Roman"/>
              </w:rPr>
            </w:pPr>
            <w:r w:rsidRPr="00DF21A3">
              <w:rPr>
                <w:rFonts w:ascii="Times New Roman" w:hAnsi="Times New Roman" w:cs="Times New Roman"/>
              </w:rPr>
              <w:t xml:space="preserve">For individuals residing abroad: </w:t>
            </w:r>
          </w:p>
          <w:p w14:paraId="72086D8D" w14:textId="5A4CF293" w:rsidR="00463805" w:rsidRPr="00DF21A3" w:rsidRDefault="00463805" w:rsidP="00261780">
            <w:pPr>
              <w:spacing w:line="380" w:lineRule="exact"/>
              <w:ind w:leftChars="250" w:left="600"/>
              <w:rPr>
                <w:rFonts w:ascii="Times New Roman" w:hAnsi="Times New Roman" w:cs="Times New Roman"/>
              </w:rPr>
            </w:pPr>
            <w:r w:rsidRPr="00DF21A3">
              <w:rPr>
                <w:rFonts w:ascii="Times New Roman" w:hAnsi="Times New Roman" w:cs="Times New Roman"/>
              </w:rPr>
              <w:t>(</w:t>
            </w:r>
            <w:proofErr w:type="spellStart"/>
            <w:r w:rsidRPr="00DF21A3">
              <w:rPr>
                <w:rFonts w:ascii="Times New Roman" w:hAnsi="Times New Roman" w:cs="Times New Roman"/>
              </w:rPr>
              <w:t>i</w:t>
            </w:r>
            <w:proofErr w:type="spellEnd"/>
            <w:r w:rsidRPr="00DF21A3">
              <w:rPr>
                <w:rFonts w:ascii="Times New Roman" w:hAnsi="Times New Roman" w:cs="Times New Roman"/>
              </w:rPr>
              <w:t>) For appointments of less than one year: reimbursement of one round-trip economy-class airfare for the appointee may be requested, limited to one occasion.</w:t>
            </w:r>
            <w:r w:rsidR="00261780" w:rsidRPr="00DF21A3">
              <w:rPr>
                <w:rFonts w:ascii="Times New Roman" w:hAnsi="Times New Roman" w:cs="Times New Roman"/>
              </w:rPr>
              <w:t xml:space="preserve"> </w:t>
            </w:r>
            <w:r w:rsidRPr="00DF21A3">
              <w:rPr>
                <w:rFonts w:ascii="Times New Roman" w:hAnsi="Times New Roman" w:cs="Times New Roman"/>
              </w:rPr>
              <w:t>For appointments exceeding one year: a special request may be made for reimbursement of one round-trip economy-class airfare for the appointee, limited to once per year.</w:t>
            </w:r>
          </w:p>
          <w:p w14:paraId="485FC0CB" w14:textId="77777777" w:rsidR="00463805" w:rsidRPr="00DF21A3" w:rsidRDefault="00463805" w:rsidP="00261780">
            <w:pPr>
              <w:spacing w:line="380" w:lineRule="exact"/>
              <w:ind w:leftChars="250" w:left="600"/>
              <w:rPr>
                <w:rFonts w:ascii="Times New Roman" w:hAnsi="Times New Roman" w:cs="Times New Roman"/>
              </w:rPr>
            </w:pPr>
            <w:r w:rsidRPr="00DF21A3">
              <w:rPr>
                <w:rFonts w:ascii="Times New Roman" w:hAnsi="Times New Roman" w:cs="Times New Roman"/>
              </w:rPr>
              <w:t>(ii) Upon completion of one year of service at the University: reimbursement of one round-trip economy-class airfare for the appointee's spouse may be requested, limited to one occasion.</w:t>
            </w:r>
          </w:p>
          <w:p w14:paraId="1C740E47" w14:textId="77777777" w:rsidR="00463805" w:rsidRPr="00DF21A3" w:rsidRDefault="00463805" w:rsidP="005364AC">
            <w:pPr>
              <w:numPr>
                <w:ilvl w:val="0"/>
                <w:numId w:val="6"/>
              </w:numPr>
              <w:spacing w:line="380" w:lineRule="exact"/>
              <w:rPr>
                <w:rFonts w:ascii="Times New Roman" w:hAnsi="Times New Roman" w:cs="Times New Roman"/>
              </w:rPr>
            </w:pPr>
            <w:r w:rsidRPr="00DF21A3">
              <w:rPr>
                <w:rFonts w:ascii="Times New Roman" w:hAnsi="Times New Roman" w:cs="Times New Roman"/>
              </w:rPr>
              <w:t>For individuals residing within Taiwan: reimbursement of round-trip transportation costs may be requested in accordance with the University's travel expense reimbursement standards.</w:t>
            </w:r>
          </w:p>
          <w:p w14:paraId="70FEABB6" w14:textId="2B548E2A" w:rsidR="00463805" w:rsidRPr="00DF21A3" w:rsidRDefault="00463805" w:rsidP="005364AC">
            <w:pPr>
              <w:spacing w:line="380" w:lineRule="exact"/>
              <w:rPr>
                <w:rFonts w:ascii="Times New Roman" w:hAnsi="Times New Roman" w:cs="Times New Roman"/>
                <w:bCs/>
              </w:rPr>
            </w:pPr>
            <w:r w:rsidRPr="00DF21A3">
              <w:rPr>
                <w:rFonts w:ascii="Times New Roman" w:hAnsi="Times New Roman" w:cs="Times New Roman"/>
              </w:rPr>
              <w:t>Where a Visiting Professor or Visiting Associate Professor also holds a concurrent medical position at an affiliated medical institution of the University, the affiliated medical institution shall additionally provide a medical service allowance.</w:t>
            </w:r>
          </w:p>
        </w:tc>
      </w:tr>
      <w:tr w:rsidR="00463805" w:rsidRPr="00463805" w14:paraId="1BB6F7A2" w14:textId="77777777" w:rsidTr="00662141">
        <w:tc>
          <w:tcPr>
            <w:tcW w:w="1271" w:type="dxa"/>
          </w:tcPr>
          <w:p w14:paraId="42F8DC0E" w14:textId="77999C08"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b/>
                <w:bCs/>
              </w:rPr>
              <w:lastRenderedPageBreak/>
              <w:t>Article 7</w:t>
            </w:r>
          </w:p>
        </w:tc>
        <w:tc>
          <w:tcPr>
            <w:tcW w:w="8357" w:type="dxa"/>
          </w:tcPr>
          <w:p w14:paraId="601EE152" w14:textId="755148F8"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rPr>
              <w:t>When research results and papers are published during the appointment period under the name of the University, such research results and papers shall be subject to all applicable incentive regulations of the University. Matters pertaining to intellectual property rights shall be addressed through separate arrangements.</w:t>
            </w:r>
          </w:p>
        </w:tc>
      </w:tr>
      <w:tr w:rsidR="00463805" w:rsidRPr="00463805" w14:paraId="657494FE" w14:textId="77777777" w:rsidTr="00662141">
        <w:tc>
          <w:tcPr>
            <w:tcW w:w="1271" w:type="dxa"/>
          </w:tcPr>
          <w:p w14:paraId="5546CA75" w14:textId="30A83303"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b/>
                <w:bCs/>
              </w:rPr>
              <w:t>Article 8</w:t>
            </w:r>
          </w:p>
        </w:tc>
        <w:tc>
          <w:tcPr>
            <w:tcW w:w="8357" w:type="dxa"/>
          </w:tcPr>
          <w:p w14:paraId="17D1C4B8" w14:textId="3FE98241"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rPr>
              <w:t>Full-time Visiting Professors and Visiting Associate Professors shall receive preferential medical treatment at the University's affiliated medical institutions equivalent to that of full-time faculty. Part-time visiting appointees shall receive preferential treatment equivalent to that of part-time faculty.</w:t>
            </w:r>
          </w:p>
        </w:tc>
      </w:tr>
      <w:tr w:rsidR="00463805" w:rsidRPr="00463805" w14:paraId="1ED9E9E8" w14:textId="77777777" w:rsidTr="00662141">
        <w:tc>
          <w:tcPr>
            <w:tcW w:w="1271" w:type="dxa"/>
          </w:tcPr>
          <w:p w14:paraId="6338C479" w14:textId="414EDC19"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b/>
                <w:bCs/>
              </w:rPr>
              <w:t>Article 9</w:t>
            </w:r>
          </w:p>
        </w:tc>
        <w:tc>
          <w:tcPr>
            <w:tcW w:w="8357" w:type="dxa"/>
          </w:tcPr>
          <w:p w14:paraId="13D649CD" w14:textId="7B36FB8B" w:rsidR="00463805" w:rsidRPr="00463805" w:rsidRDefault="00463805" w:rsidP="005364AC">
            <w:pPr>
              <w:spacing w:line="380" w:lineRule="exact"/>
              <w:rPr>
                <w:rFonts w:ascii="Times New Roman" w:hAnsi="Times New Roman" w:cs="Times New Roman"/>
              </w:rPr>
            </w:pPr>
            <w:r w:rsidRPr="00347007">
              <w:rPr>
                <w:rFonts w:ascii="Times New Roman" w:hAnsi="Times New Roman" w:cs="Times New Roman"/>
              </w:rPr>
              <w:t>The rights and obligations of full-time Visiting Professors and Visiting Associate Professors during their period of service at the University shall be clearly stipulated by contract. The contract shall cover, among other items: appointment period, salary, funding sources, leave and absence policies, outside employment, concurrent teaching arrangements, and other relevant rights, obligations, and work responsibilities.</w:t>
            </w:r>
          </w:p>
        </w:tc>
      </w:tr>
      <w:tr w:rsidR="00463805" w:rsidRPr="00463805" w14:paraId="5CB5A894" w14:textId="77777777" w:rsidTr="00662141">
        <w:tc>
          <w:tcPr>
            <w:tcW w:w="1271" w:type="dxa"/>
          </w:tcPr>
          <w:p w14:paraId="7AF05548" w14:textId="5BDD5DBD" w:rsidR="00463805" w:rsidRPr="00463805" w:rsidRDefault="00463805" w:rsidP="005364AC">
            <w:pPr>
              <w:spacing w:line="380" w:lineRule="exact"/>
              <w:rPr>
                <w:rFonts w:ascii="Times New Roman" w:hAnsi="Times New Roman" w:cs="Times New Roman"/>
                <w:b/>
                <w:bCs/>
              </w:rPr>
            </w:pPr>
            <w:r w:rsidRPr="00347007">
              <w:rPr>
                <w:rFonts w:ascii="Times New Roman" w:hAnsi="Times New Roman" w:cs="Times New Roman"/>
                <w:b/>
                <w:bCs/>
              </w:rPr>
              <w:t>Article 10</w:t>
            </w:r>
          </w:p>
        </w:tc>
        <w:tc>
          <w:tcPr>
            <w:tcW w:w="8357" w:type="dxa"/>
          </w:tcPr>
          <w:p w14:paraId="7104B58C" w14:textId="752B4817" w:rsidR="00463805" w:rsidRPr="00463805" w:rsidRDefault="00463805" w:rsidP="005364AC">
            <w:pPr>
              <w:spacing w:line="380" w:lineRule="exact"/>
              <w:rPr>
                <w:rFonts w:ascii="Times New Roman" w:hAnsi="Times New Roman" w:cs="Times New Roman"/>
              </w:rPr>
            </w:pPr>
            <w:r w:rsidRPr="00347007">
              <w:rPr>
                <w:rFonts w:ascii="Times New Roman" w:hAnsi="Times New Roman" w:cs="Times New Roman"/>
              </w:rPr>
              <w:t xml:space="preserve">These Regulations shall take effect upon approval by the </w:t>
            </w:r>
            <w:r w:rsidR="006E31A7">
              <w:rPr>
                <w:rFonts w:ascii="Times New Roman" w:hAnsi="Times New Roman" w:cs="Times New Roman"/>
              </w:rPr>
              <w:t>University Council</w:t>
            </w:r>
            <w:r w:rsidRPr="00347007">
              <w:rPr>
                <w:rFonts w:ascii="Times New Roman" w:hAnsi="Times New Roman" w:cs="Times New Roman"/>
              </w:rPr>
              <w:t xml:space="preserve">, submission to and approval by the Board of </w:t>
            </w:r>
            <w:r w:rsidR="006E31A7">
              <w:rPr>
                <w:rFonts w:ascii="Times New Roman" w:hAnsi="Times New Roman" w:cs="Times New Roman"/>
              </w:rPr>
              <w:t>Directors</w:t>
            </w:r>
            <w:r w:rsidRPr="00347007">
              <w:rPr>
                <w:rFonts w:ascii="Times New Roman" w:hAnsi="Times New Roman" w:cs="Times New Roman"/>
              </w:rPr>
              <w:t>, and promulgation by the University President, effective from the date of promulgation. The same procedure shall apply to any subsequent amendments.</w:t>
            </w:r>
          </w:p>
        </w:tc>
      </w:tr>
    </w:tbl>
    <w:p w14:paraId="6500FE34" w14:textId="77777777" w:rsidR="00463805" w:rsidRPr="00463805" w:rsidRDefault="00463805" w:rsidP="00463805">
      <w:pPr>
        <w:spacing w:after="0" w:line="460" w:lineRule="exact"/>
        <w:rPr>
          <w:rFonts w:ascii="Times New Roman" w:hAnsi="Times New Roman" w:cs="Times New Roman"/>
          <w:b/>
          <w:bCs/>
        </w:rPr>
      </w:pPr>
    </w:p>
    <w:sectPr w:rsidR="00463805" w:rsidRPr="00463805" w:rsidSect="0034700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0FEF"/>
    <w:multiLevelType w:val="multilevel"/>
    <w:tmpl w:val="D966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30553"/>
    <w:multiLevelType w:val="multilevel"/>
    <w:tmpl w:val="C6F2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254FD2"/>
    <w:multiLevelType w:val="multilevel"/>
    <w:tmpl w:val="DD54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D56E2"/>
    <w:multiLevelType w:val="multilevel"/>
    <w:tmpl w:val="C09E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B34F05"/>
    <w:multiLevelType w:val="multilevel"/>
    <w:tmpl w:val="62C22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5F3314"/>
    <w:multiLevelType w:val="multilevel"/>
    <w:tmpl w:val="88EAD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315B21"/>
    <w:multiLevelType w:val="multilevel"/>
    <w:tmpl w:val="7B7CA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07"/>
    <w:rsid w:val="00261780"/>
    <w:rsid w:val="002C1A54"/>
    <w:rsid w:val="00347007"/>
    <w:rsid w:val="00463805"/>
    <w:rsid w:val="004C0B2F"/>
    <w:rsid w:val="004E5A3A"/>
    <w:rsid w:val="005364AC"/>
    <w:rsid w:val="00662141"/>
    <w:rsid w:val="006E31A7"/>
    <w:rsid w:val="008A7444"/>
    <w:rsid w:val="008E2B7C"/>
    <w:rsid w:val="009450AE"/>
    <w:rsid w:val="00A62F97"/>
    <w:rsid w:val="00B63ED4"/>
    <w:rsid w:val="00BD6F6F"/>
    <w:rsid w:val="00DF21A3"/>
    <w:rsid w:val="00EB4120"/>
    <w:rsid w:val="00F544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502E"/>
  <w15:chartTrackingRefBased/>
  <w15:docId w15:val="{23F32E66-9C3D-402E-B709-C4AB5692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00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4700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4700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4700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470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4700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4700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700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4700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4700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4700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47007"/>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47007"/>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47007"/>
    <w:rPr>
      <w:rFonts w:eastAsiaTheme="majorEastAsia" w:cstheme="majorBidi"/>
      <w:color w:val="0F4761" w:themeColor="accent1" w:themeShade="BF"/>
    </w:rPr>
  </w:style>
  <w:style w:type="character" w:customStyle="1" w:styleId="60">
    <w:name w:val="標題 6 字元"/>
    <w:basedOn w:val="a0"/>
    <w:link w:val="6"/>
    <w:uiPriority w:val="9"/>
    <w:semiHidden/>
    <w:rsid w:val="00347007"/>
    <w:rPr>
      <w:rFonts w:eastAsiaTheme="majorEastAsia" w:cstheme="majorBidi"/>
      <w:color w:val="595959" w:themeColor="text1" w:themeTint="A6"/>
    </w:rPr>
  </w:style>
  <w:style w:type="character" w:customStyle="1" w:styleId="70">
    <w:name w:val="標題 7 字元"/>
    <w:basedOn w:val="a0"/>
    <w:link w:val="7"/>
    <w:uiPriority w:val="9"/>
    <w:semiHidden/>
    <w:rsid w:val="00347007"/>
    <w:rPr>
      <w:rFonts w:eastAsiaTheme="majorEastAsia" w:cstheme="majorBidi"/>
      <w:color w:val="595959" w:themeColor="text1" w:themeTint="A6"/>
    </w:rPr>
  </w:style>
  <w:style w:type="character" w:customStyle="1" w:styleId="80">
    <w:name w:val="標題 8 字元"/>
    <w:basedOn w:val="a0"/>
    <w:link w:val="8"/>
    <w:uiPriority w:val="9"/>
    <w:semiHidden/>
    <w:rsid w:val="00347007"/>
    <w:rPr>
      <w:rFonts w:eastAsiaTheme="majorEastAsia" w:cstheme="majorBidi"/>
      <w:color w:val="272727" w:themeColor="text1" w:themeTint="D8"/>
    </w:rPr>
  </w:style>
  <w:style w:type="character" w:customStyle="1" w:styleId="90">
    <w:name w:val="標題 9 字元"/>
    <w:basedOn w:val="a0"/>
    <w:link w:val="9"/>
    <w:uiPriority w:val="9"/>
    <w:semiHidden/>
    <w:rsid w:val="00347007"/>
    <w:rPr>
      <w:rFonts w:eastAsiaTheme="majorEastAsia" w:cstheme="majorBidi"/>
      <w:color w:val="272727" w:themeColor="text1" w:themeTint="D8"/>
    </w:rPr>
  </w:style>
  <w:style w:type="paragraph" w:styleId="a3">
    <w:name w:val="Title"/>
    <w:basedOn w:val="a"/>
    <w:next w:val="a"/>
    <w:link w:val="a4"/>
    <w:uiPriority w:val="10"/>
    <w:qFormat/>
    <w:rsid w:val="003470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470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0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470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007"/>
    <w:pPr>
      <w:spacing w:before="160"/>
      <w:jc w:val="center"/>
    </w:pPr>
    <w:rPr>
      <w:i/>
      <w:iCs/>
      <w:color w:val="404040" w:themeColor="text1" w:themeTint="BF"/>
    </w:rPr>
  </w:style>
  <w:style w:type="character" w:customStyle="1" w:styleId="a8">
    <w:name w:val="引文 字元"/>
    <w:basedOn w:val="a0"/>
    <w:link w:val="a7"/>
    <w:uiPriority w:val="29"/>
    <w:rsid w:val="00347007"/>
    <w:rPr>
      <w:i/>
      <w:iCs/>
      <w:color w:val="404040" w:themeColor="text1" w:themeTint="BF"/>
    </w:rPr>
  </w:style>
  <w:style w:type="paragraph" w:styleId="a9">
    <w:name w:val="List Paragraph"/>
    <w:basedOn w:val="a"/>
    <w:uiPriority w:val="34"/>
    <w:qFormat/>
    <w:rsid w:val="00347007"/>
    <w:pPr>
      <w:ind w:left="720"/>
      <w:contextualSpacing/>
    </w:pPr>
  </w:style>
  <w:style w:type="character" w:styleId="aa">
    <w:name w:val="Intense Emphasis"/>
    <w:basedOn w:val="a0"/>
    <w:uiPriority w:val="21"/>
    <w:qFormat/>
    <w:rsid w:val="00347007"/>
    <w:rPr>
      <w:i/>
      <w:iCs/>
      <w:color w:val="0F4761" w:themeColor="accent1" w:themeShade="BF"/>
    </w:rPr>
  </w:style>
  <w:style w:type="paragraph" w:styleId="ab">
    <w:name w:val="Intense Quote"/>
    <w:basedOn w:val="a"/>
    <w:next w:val="a"/>
    <w:link w:val="ac"/>
    <w:uiPriority w:val="30"/>
    <w:qFormat/>
    <w:rsid w:val="00347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47007"/>
    <w:rPr>
      <w:i/>
      <w:iCs/>
      <w:color w:val="0F4761" w:themeColor="accent1" w:themeShade="BF"/>
    </w:rPr>
  </w:style>
  <w:style w:type="character" w:styleId="ad">
    <w:name w:val="Intense Reference"/>
    <w:basedOn w:val="a0"/>
    <w:uiPriority w:val="32"/>
    <w:qFormat/>
    <w:rsid w:val="00347007"/>
    <w:rPr>
      <w:b/>
      <w:bCs/>
      <w:smallCaps/>
      <w:color w:val="0F4761" w:themeColor="accent1" w:themeShade="BF"/>
      <w:spacing w:val="5"/>
    </w:rPr>
  </w:style>
  <w:style w:type="table" w:styleId="ae">
    <w:name w:val="Table Grid"/>
    <w:basedOn w:val="a1"/>
    <w:uiPriority w:val="39"/>
    <w:rsid w:val="00463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00072">
      <w:bodyDiv w:val="1"/>
      <w:marLeft w:val="0"/>
      <w:marRight w:val="0"/>
      <w:marTop w:val="0"/>
      <w:marBottom w:val="0"/>
      <w:divBdr>
        <w:top w:val="none" w:sz="0" w:space="0" w:color="auto"/>
        <w:left w:val="none" w:sz="0" w:space="0" w:color="auto"/>
        <w:bottom w:val="none" w:sz="0" w:space="0" w:color="auto"/>
        <w:right w:val="none" w:sz="0" w:space="0" w:color="auto"/>
      </w:divBdr>
      <w:divsChild>
        <w:div w:id="1312902683">
          <w:marLeft w:val="0"/>
          <w:marRight w:val="0"/>
          <w:marTop w:val="0"/>
          <w:marBottom w:val="0"/>
          <w:divBdr>
            <w:top w:val="none" w:sz="0" w:space="0" w:color="auto"/>
            <w:left w:val="none" w:sz="0" w:space="0" w:color="auto"/>
            <w:bottom w:val="none" w:sz="0" w:space="0" w:color="auto"/>
            <w:right w:val="none" w:sz="0" w:space="0" w:color="auto"/>
          </w:divBdr>
        </w:div>
      </w:divsChild>
    </w:div>
    <w:div w:id="581648757">
      <w:bodyDiv w:val="1"/>
      <w:marLeft w:val="0"/>
      <w:marRight w:val="0"/>
      <w:marTop w:val="0"/>
      <w:marBottom w:val="0"/>
      <w:divBdr>
        <w:top w:val="none" w:sz="0" w:space="0" w:color="auto"/>
        <w:left w:val="none" w:sz="0" w:space="0" w:color="auto"/>
        <w:bottom w:val="none" w:sz="0" w:space="0" w:color="auto"/>
        <w:right w:val="none" w:sz="0" w:space="0" w:color="auto"/>
      </w:divBdr>
    </w:div>
    <w:div w:id="1136144725">
      <w:bodyDiv w:val="1"/>
      <w:marLeft w:val="0"/>
      <w:marRight w:val="0"/>
      <w:marTop w:val="0"/>
      <w:marBottom w:val="0"/>
      <w:divBdr>
        <w:top w:val="none" w:sz="0" w:space="0" w:color="auto"/>
        <w:left w:val="none" w:sz="0" w:space="0" w:color="auto"/>
        <w:bottom w:val="none" w:sz="0" w:space="0" w:color="auto"/>
        <w:right w:val="none" w:sz="0" w:space="0" w:color="auto"/>
      </w:divBdr>
      <w:divsChild>
        <w:div w:id="1158577506">
          <w:marLeft w:val="0"/>
          <w:marRight w:val="0"/>
          <w:marTop w:val="0"/>
          <w:marBottom w:val="0"/>
          <w:divBdr>
            <w:top w:val="none" w:sz="0" w:space="0" w:color="auto"/>
            <w:left w:val="none" w:sz="0" w:space="0" w:color="auto"/>
            <w:bottom w:val="none" w:sz="0" w:space="0" w:color="auto"/>
            <w:right w:val="none" w:sz="0" w:space="0" w:color="auto"/>
          </w:divBdr>
        </w:div>
      </w:divsChild>
    </w:div>
    <w:div w:id="14177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朱怡蓓</dc:creator>
  <cp:keywords/>
  <dc:description/>
  <cp:lastModifiedBy>Admin</cp:lastModifiedBy>
  <cp:revision>13</cp:revision>
  <dcterms:created xsi:type="dcterms:W3CDTF">2026-06-04T08:49:00Z</dcterms:created>
  <dcterms:modified xsi:type="dcterms:W3CDTF">2026-06-08T05:26:00Z</dcterms:modified>
</cp:coreProperties>
</file>