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E381" w14:textId="1F51F63D" w:rsidR="00696FAE" w:rsidRPr="00F1512D" w:rsidRDefault="004762C7" w:rsidP="00F1512D">
      <w:pPr>
        <w:rPr>
          <w:rFonts w:ascii="Times New Roman" w:eastAsia="標楷體" w:hAnsi="Times New Roman"/>
          <w:spacing w:val="-20"/>
        </w:rPr>
      </w:pPr>
      <w:r w:rsidRPr="004762C7">
        <w:rPr>
          <w:rFonts w:ascii="Times New Roman" w:eastAsia="標楷體" w:hAnsi="Times New Roman"/>
          <w:b/>
          <w:bCs/>
          <w:sz w:val="28"/>
          <w:szCs w:val="28"/>
        </w:rPr>
        <w:t xml:space="preserve">Kaohsiung Medical University </w:t>
      </w:r>
      <w:r w:rsidR="00F1512D" w:rsidRPr="004762C7">
        <w:rPr>
          <w:rFonts w:ascii="Times New Roman" w:eastAsia="標楷體" w:hAnsi="Times New Roman"/>
          <w:b/>
          <w:bCs/>
          <w:sz w:val="28"/>
          <w:szCs w:val="28"/>
        </w:rPr>
        <w:t>Guidelines for Payment of Fees for Scholar and Expert Guidance, Special Lectures, and University Affairs Consultation</w:t>
      </w:r>
      <w:r w:rsidR="00696FAE" w:rsidRPr="004762C7">
        <w:rPr>
          <w:rFonts w:ascii="Times New Roman" w:eastAsia="標楷體" w:hAnsi="Times New Roman"/>
          <w:b/>
          <w:sz w:val="36"/>
          <w:szCs w:val="32"/>
        </w:rPr>
        <w:br/>
      </w:r>
      <w:r w:rsidR="00696FAE" w:rsidRPr="00F1512D">
        <w:rPr>
          <w:rFonts w:ascii="Times New Roman" w:eastAsia="標楷體" w:hAnsi="Times New Roman" w:hint="eastAsia"/>
          <w:spacing w:val="-20"/>
        </w:rPr>
        <w:t xml:space="preserve">         </w:t>
      </w:r>
      <w:r w:rsidR="00696FAE" w:rsidRPr="00F1512D">
        <w:rPr>
          <w:rFonts w:ascii="Times New Roman" w:eastAsia="標楷體" w:hAnsi="Times New Roman"/>
          <w:spacing w:val="-20"/>
        </w:rPr>
        <w:t xml:space="preserve">                              </w:t>
      </w:r>
    </w:p>
    <w:p w14:paraId="33804442" w14:textId="2AB437B9" w:rsidR="0040498D" w:rsidRPr="00F1512D" w:rsidRDefault="0040498D" w:rsidP="00B564DF">
      <w:pPr>
        <w:spacing w:line="0" w:lineRule="atLeast"/>
        <w:ind w:firstLineChars="1347" w:firstLine="2694"/>
        <w:rPr>
          <w:rFonts w:ascii="Times New Roman" w:eastAsia="標楷體" w:hAnsi="Times New Roman"/>
          <w:sz w:val="20"/>
          <w:szCs w:val="20"/>
        </w:rPr>
      </w:pPr>
      <w:r>
        <w:rPr>
          <w:rFonts w:ascii="Times New Roman" w:eastAsia="標楷體" w:hAnsi="Times New Roman"/>
          <w:sz w:val="20"/>
          <w:szCs w:val="20"/>
        </w:rPr>
        <w:t>1992</w:t>
      </w:r>
      <w:r w:rsidRPr="0040498D">
        <w:rPr>
          <w:rFonts w:ascii="Times New Roman" w:eastAsia="標楷體" w:hAnsi="Times New Roman"/>
          <w:sz w:val="20"/>
          <w:szCs w:val="20"/>
        </w:rPr>
        <w:t>.</w:t>
      </w:r>
      <w:r>
        <w:rPr>
          <w:rFonts w:ascii="Times New Roman" w:eastAsia="標楷體" w:hAnsi="Times New Roman"/>
          <w:sz w:val="20"/>
          <w:szCs w:val="20"/>
        </w:rPr>
        <w:t>1</w:t>
      </w:r>
      <w:r w:rsidRPr="0040498D">
        <w:rPr>
          <w:rFonts w:ascii="Times New Roman" w:eastAsia="標楷體" w:hAnsi="Times New Roman"/>
          <w:sz w:val="20"/>
          <w:szCs w:val="20"/>
        </w:rPr>
        <w:t>2.</w:t>
      </w:r>
      <w:r>
        <w:rPr>
          <w:rFonts w:ascii="Times New Roman" w:eastAsia="標楷體" w:hAnsi="Times New Roman"/>
          <w:sz w:val="20"/>
          <w:szCs w:val="20"/>
        </w:rPr>
        <w:t>1</w:t>
      </w:r>
      <w:r w:rsidRPr="0040498D">
        <w:rPr>
          <w:rFonts w:ascii="Times New Roman" w:eastAsia="標楷體" w:hAnsi="Times New Roman"/>
          <w:sz w:val="20"/>
          <w:szCs w:val="20"/>
        </w:rPr>
        <w:t xml:space="preserve">5 </w:t>
      </w:r>
      <w:r w:rsidR="00823D89">
        <w:rPr>
          <w:rFonts w:ascii="Times New Roman" w:eastAsia="標楷體" w:hAnsi="Times New Roman"/>
          <w:sz w:val="20"/>
          <w:szCs w:val="20"/>
        </w:rPr>
        <w:t>(81)</w:t>
      </w:r>
      <w:r w:rsidRPr="0040498D">
        <w:rPr>
          <w:rFonts w:ascii="Times New Roman" w:eastAsia="標楷體" w:hAnsi="Times New Roman"/>
          <w:sz w:val="20"/>
          <w:szCs w:val="20"/>
        </w:rPr>
        <w:t xml:space="preserve">Promulgated in the GaoYiFaZi No. </w:t>
      </w:r>
      <w:r w:rsidR="00823D89">
        <w:rPr>
          <w:rFonts w:ascii="Times New Roman" w:eastAsia="標楷體" w:hAnsi="Times New Roman"/>
          <w:sz w:val="20"/>
          <w:szCs w:val="20"/>
        </w:rPr>
        <w:t>3017</w:t>
      </w:r>
      <w:r w:rsidRPr="0040498D">
        <w:rPr>
          <w:rFonts w:ascii="Times New Roman" w:eastAsia="標楷體" w:hAnsi="Times New Roman"/>
          <w:sz w:val="20"/>
          <w:szCs w:val="20"/>
        </w:rPr>
        <w:t xml:space="preserve"> Letter</w:t>
      </w:r>
    </w:p>
    <w:p w14:paraId="109CC0A9" w14:textId="786EDBD0" w:rsidR="00823D89" w:rsidRPr="00F1512D" w:rsidRDefault="00823D89" w:rsidP="00823D89">
      <w:pPr>
        <w:spacing w:line="0" w:lineRule="atLeast"/>
        <w:ind w:firstLineChars="1347" w:firstLine="2694"/>
        <w:rPr>
          <w:rFonts w:ascii="Times New Roman" w:eastAsia="標楷體" w:hAnsi="Times New Roman"/>
          <w:sz w:val="20"/>
          <w:szCs w:val="20"/>
        </w:rPr>
      </w:pPr>
      <w:r w:rsidRPr="00B564DF">
        <w:rPr>
          <w:rFonts w:ascii="Times New Roman" w:eastAsia="標楷體" w:hAnsi="Times New Roman"/>
          <w:sz w:val="20"/>
          <w:szCs w:val="20"/>
        </w:rPr>
        <w:t>20</w:t>
      </w:r>
      <w:r>
        <w:rPr>
          <w:rFonts w:ascii="Times New Roman" w:eastAsia="標楷體" w:hAnsi="Times New Roman"/>
          <w:sz w:val="20"/>
          <w:szCs w:val="20"/>
        </w:rPr>
        <w:t>09</w:t>
      </w:r>
      <w:r w:rsidRPr="00B564DF">
        <w:rPr>
          <w:rFonts w:ascii="Times New Roman" w:eastAsia="標楷體" w:hAnsi="Times New Roman"/>
          <w:sz w:val="20"/>
          <w:szCs w:val="20"/>
        </w:rPr>
        <w:t>.</w:t>
      </w:r>
      <w:r>
        <w:rPr>
          <w:rFonts w:ascii="Times New Roman" w:eastAsia="標楷體" w:hAnsi="Times New Roman"/>
          <w:sz w:val="20"/>
          <w:szCs w:val="20"/>
        </w:rPr>
        <w:t>03</w:t>
      </w:r>
      <w:r w:rsidRPr="00B564DF">
        <w:rPr>
          <w:rFonts w:ascii="Times New Roman" w:eastAsia="標楷體" w:hAnsi="Times New Roman"/>
          <w:sz w:val="20"/>
          <w:szCs w:val="20"/>
        </w:rPr>
        <w:t>.</w:t>
      </w:r>
      <w:r>
        <w:rPr>
          <w:rFonts w:ascii="Times New Roman" w:eastAsia="標楷體" w:hAnsi="Times New Roman"/>
          <w:sz w:val="20"/>
          <w:szCs w:val="20"/>
        </w:rPr>
        <w:t>26</w:t>
      </w:r>
      <w:r w:rsidRPr="00B564DF">
        <w:rPr>
          <w:rFonts w:ascii="Times New Roman" w:eastAsia="標楷體" w:hAnsi="Times New Roman"/>
          <w:sz w:val="20"/>
          <w:szCs w:val="20"/>
        </w:rPr>
        <w:t xml:space="preserve"> Passed in the </w:t>
      </w:r>
      <w:r>
        <w:rPr>
          <w:rFonts w:ascii="Times New Roman" w:eastAsia="標楷體" w:hAnsi="Times New Roman"/>
          <w:sz w:val="20"/>
          <w:szCs w:val="20"/>
        </w:rPr>
        <w:t>3rd</w:t>
      </w:r>
      <w:r w:rsidRPr="00B564DF">
        <w:rPr>
          <w:rFonts w:ascii="Times New Roman" w:eastAsia="標楷體" w:hAnsi="Times New Roman"/>
          <w:sz w:val="20"/>
          <w:szCs w:val="20"/>
        </w:rPr>
        <w:t xml:space="preserve"> </w:t>
      </w:r>
      <w:r w:rsidRPr="00823D89">
        <w:rPr>
          <w:rFonts w:ascii="Times New Roman" w:eastAsia="標楷體" w:hAnsi="Times New Roman"/>
          <w:sz w:val="20"/>
          <w:szCs w:val="20"/>
        </w:rPr>
        <w:t>University Council</w:t>
      </w:r>
      <w:r>
        <w:rPr>
          <w:rFonts w:ascii="Times New Roman" w:eastAsia="標楷體" w:hAnsi="Times New Roman"/>
          <w:sz w:val="20"/>
          <w:szCs w:val="20"/>
        </w:rPr>
        <w:t xml:space="preserve"> and the 8th </w:t>
      </w:r>
      <w:r w:rsidRPr="00B564DF">
        <w:rPr>
          <w:rFonts w:ascii="Times New Roman" w:eastAsia="標楷體" w:hAnsi="Times New Roman"/>
          <w:sz w:val="20"/>
          <w:szCs w:val="20"/>
        </w:rPr>
        <w:t>Administrative Meeting</w:t>
      </w:r>
    </w:p>
    <w:p w14:paraId="06648680" w14:textId="7D83F4DF" w:rsidR="0040498D" w:rsidRPr="00F1512D" w:rsidRDefault="0040498D" w:rsidP="0040498D">
      <w:pPr>
        <w:spacing w:line="0" w:lineRule="atLeast"/>
        <w:ind w:firstLineChars="1347" w:firstLine="2694"/>
        <w:rPr>
          <w:rFonts w:ascii="Times New Roman" w:eastAsia="標楷體" w:hAnsi="Times New Roman"/>
          <w:sz w:val="20"/>
          <w:szCs w:val="20"/>
        </w:rPr>
      </w:pPr>
      <w:r w:rsidRPr="00B564DF">
        <w:rPr>
          <w:rFonts w:ascii="Times New Roman" w:eastAsia="標楷體" w:hAnsi="Times New Roman"/>
          <w:color w:val="000000" w:themeColor="text1"/>
          <w:sz w:val="20"/>
          <w:szCs w:val="20"/>
        </w:rPr>
        <w:t>20</w:t>
      </w:r>
      <w:r>
        <w:rPr>
          <w:rFonts w:ascii="Times New Roman" w:eastAsia="標楷體" w:hAnsi="Times New Roman"/>
          <w:color w:val="000000" w:themeColor="text1"/>
          <w:sz w:val="20"/>
          <w:szCs w:val="20"/>
        </w:rPr>
        <w:t>09</w:t>
      </w:r>
      <w:r w:rsidRPr="00B564DF">
        <w:rPr>
          <w:rFonts w:ascii="Times New Roman" w:eastAsia="標楷體" w:hAnsi="Times New Roman"/>
          <w:color w:val="000000" w:themeColor="text1"/>
          <w:sz w:val="20"/>
          <w:szCs w:val="20"/>
        </w:rPr>
        <w:t>.</w:t>
      </w:r>
      <w:r>
        <w:rPr>
          <w:rFonts w:ascii="Times New Roman" w:eastAsia="標楷體" w:hAnsi="Times New Roman"/>
          <w:color w:val="000000" w:themeColor="text1"/>
          <w:sz w:val="20"/>
          <w:szCs w:val="20"/>
        </w:rPr>
        <w:t>04</w:t>
      </w:r>
      <w:r w:rsidRPr="00B564DF">
        <w:rPr>
          <w:rFonts w:ascii="Times New Roman" w:eastAsia="標楷體" w:hAnsi="Times New Roman"/>
          <w:color w:val="000000" w:themeColor="text1"/>
          <w:sz w:val="20"/>
          <w:szCs w:val="20"/>
        </w:rPr>
        <w:t>.</w:t>
      </w:r>
      <w:r>
        <w:rPr>
          <w:rFonts w:ascii="Times New Roman" w:eastAsia="標楷體" w:hAnsi="Times New Roman"/>
          <w:color w:val="000000" w:themeColor="text1"/>
          <w:sz w:val="20"/>
          <w:szCs w:val="20"/>
        </w:rPr>
        <w:t>16</w:t>
      </w:r>
      <w:r w:rsidRPr="00B564DF">
        <w:rPr>
          <w:rFonts w:ascii="Times New Roman" w:eastAsia="標楷體" w:hAnsi="Times New Roman"/>
          <w:color w:val="000000" w:themeColor="text1"/>
          <w:sz w:val="20"/>
          <w:szCs w:val="20"/>
        </w:rPr>
        <w:t xml:space="preserve"> Announced in the </w:t>
      </w:r>
      <w:r w:rsidRPr="0040498D">
        <w:rPr>
          <w:rFonts w:ascii="Times New Roman" w:eastAsia="標楷體" w:hAnsi="Times New Roman"/>
          <w:color w:val="000000" w:themeColor="text1"/>
          <w:sz w:val="20"/>
          <w:szCs w:val="20"/>
        </w:rPr>
        <w:t>GaoYiYanZi</w:t>
      </w:r>
      <w:r w:rsidRPr="00B564DF">
        <w:rPr>
          <w:rFonts w:ascii="Times New Roman" w:eastAsia="標楷體" w:hAnsi="Times New Roman"/>
          <w:color w:val="000000" w:themeColor="text1"/>
          <w:sz w:val="20"/>
          <w:szCs w:val="20"/>
        </w:rPr>
        <w:t xml:space="preserve"> No. </w:t>
      </w:r>
      <w:r w:rsidRPr="0040498D">
        <w:rPr>
          <w:rFonts w:ascii="Times New Roman" w:eastAsia="標楷體" w:hAnsi="Times New Roman"/>
          <w:color w:val="000000" w:themeColor="text1"/>
          <w:sz w:val="20"/>
          <w:szCs w:val="20"/>
        </w:rPr>
        <w:t>0981101720</w:t>
      </w:r>
      <w:r w:rsidRPr="00B564DF">
        <w:rPr>
          <w:rFonts w:ascii="Times New Roman" w:eastAsia="標楷體" w:hAnsi="Times New Roman"/>
          <w:color w:val="000000" w:themeColor="text1"/>
          <w:sz w:val="20"/>
          <w:szCs w:val="20"/>
        </w:rPr>
        <w:t xml:space="preserve"> Letter</w:t>
      </w:r>
    </w:p>
    <w:p w14:paraId="7A7A3D5A" w14:textId="5CBCE453" w:rsidR="00B564DF" w:rsidRPr="00F1512D" w:rsidRDefault="00B564DF" w:rsidP="00B564DF">
      <w:pPr>
        <w:spacing w:line="0" w:lineRule="atLeast"/>
        <w:ind w:firstLineChars="1347" w:firstLine="2694"/>
        <w:rPr>
          <w:rFonts w:ascii="Times New Roman" w:eastAsia="標楷體" w:hAnsi="Times New Roman"/>
          <w:sz w:val="20"/>
          <w:szCs w:val="20"/>
        </w:rPr>
      </w:pPr>
      <w:r>
        <w:rPr>
          <w:rFonts w:ascii="Times New Roman" w:eastAsia="標楷體" w:hAnsi="Times New Roman"/>
          <w:sz w:val="20"/>
          <w:szCs w:val="20"/>
        </w:rPr>
        <w:t>2011</w:t>
      </w:r>
      <w:r w:rsidRPr="00B564DF">
        <w:rPr>
          <w:rFonts w:ascii="Times New Roman" w:eastAsia="標楷體" w:hAnsi="Times New Roman"/>
          <w:sz w:val="20"/>
          <w:szCs w:val="20"/>
        </w:rPr>
        <w:t>.0</w:t>
      </w:r>
      <w:r>
        <w:rPr>
          <w:rFonts w:ascii="Times New Roman" w:eastAsia="標楷體" w:hAnsi="Times New Roman"/>
          <w:sz w:val="20"/>
          <w:szCs w:val="20"/>
        </w:rPr>
        <w:t>1</w:t>
      </w:r>
      <w:r w:rsidRPr="00B564DF">
        <w:rPr>
          <w:rFonts w:ascii="Times New Roman" w:eastAsia="標楷體" w:hAnsi="Times New Roman"/>
          <w:sz w:val="20"/>
          <w:szCs w:val="20"/>
        </w:rPr>
        <w:t xml:space="preserve">.13 Passed in the </w:t>
      </w:r>
      <w:r>
        <w:rPr>
          <w:rFonts w:ascii="Times New Roman" w:eastAsia="標楷體" w:hAnsi="Times New Roman"/>
          <w:sz w:val="20"/>
          <w:szCs w:val="20"/>
        </w:rPr>
        <w:t>6</w:t>
      </w:r>
      <w:r w:rsidRPr="00B564DF">
        <w:rPr>
          <w:rFonts w:ascii="Times New Roman" w:eastAsia="標楷體" w:hAnsi="Times New Roman"/>
          <w:sz w:val="20"/>
          <w:szCs w:val="20"/>
        </w:rPr>
        <w:t xml:space="preserve">th Administrative Meeting of the </w:t>
      </w:r>
      <w:r>
        <w:rPr>
          <w:rFonts w:ascii="Times New Roman" w:eastAsia="標楷體" w:hAnsi="Times New Roman"/>
          <w:sz w:val="20"/>
          <w:szCs w:val="20"/>
        </w:rPr>
        <w:t>99</w:t>
      </w:r>
      <w:r w:rsidRPr="00B564DF">
        <w:rPr>
          <w:rFonts w:ascii="Times New Roman" w:eastAsia="標楷體" w:hAnsi="Times New Roman"/>
          <w:sz w:val="20"/>
          <w:szCs w:val="20"/>
        </w:rPr>
        <w:t>th academic year</w:t>
      </w:r>
    </w:p>
    <w:p w14:paraId="6C21F896" w14:textId="624E4E06" w:rsidR="00B564DF" w:rsidRPr="00F1512D" w:rsidRDefault="0040498D" w:rsidP="00B564DF">
      <w:pPr>
        <w:spacing w:line="0" w:lineRule="atLeast"/>
        <w:ind w:firstLineChars="1347" w:firstLine="2694"/>
        <w:rPr>
          <w:rFonts w:ascii="Times New Roman" w:eastAsia="標楷體" w:hAnsi="Times New Roman"/>
          <w:sz w:val="20"/>
          <w:szCs w:val="20"/>
        </w:rPr>
      </w:pPr>
      <w:r w:rsidRPr="00B564DF">
        <w:rPr>
          <w:rFonts w:ascii="Times New Roman" w:eastAsia="標楷體" w:hAnsi="Times New Roman"/>
          <w:color w:val="000000" w:themeColor="text1"/>
          <w:sz w:val="20"/>
          <w:szCs w:val="20"/>
        </w:rPr>
        <w:t>20</w:t>
      </w:r>
      <w:r>
        <w:rPr>
          <w:rFonts w:ascii="Times New Roman" w:eastAsia="標楷體" w:hAnsi="Times New Roman"/>
          <w:color w:val="000000" w:themeColor="text1"/>
          <w:sz w:val="20"/>
          <w:szCs w:val="20"/>
        </w:rPr>
        <w:t>11</w:t>
      </w:r>
      <w:r w:rsidRPr="00B564DF">
        <w:rPr>
          <w:rFonts w:ascii="Times New Roman" w:eastAsia="標楷體" w:hAnsi="Times New Roman"/>
          <w:color w:val="000000" w:themeColor="text1"/>
          <w:sz w:val="20"/>
          <w:szCs w:val="20"/>
        </w:rPr>
        <w:t>.</w:t>
      </w:r>
      <w:r>
        <w:rPr>
          <w:rFonts w:ascii="Times New Roman" w:eastAsia="標楷體" w:hAnsi="Times New Roman"/>
          <w:color w:val="000000" w:themeColor="text1"/>
          <w:sz w:val="20"/>
          <w:szCs w:val="20"/>
        </w:rPr>
        <w:t>02</w:t>
      </w:r>
      <w:r w:rsidRPr="00B564DF">
        <w:rPr>
          <w:rFonts w:ascii="Times New Roman" w:eastAsia="標楷體" w:hAnsi="Times New Roman"/>
          <w:color w:val="000000" w:themeColor="text1"/>
          <w:sz w:val="20"/>
          <w:szCs w:val="20"/>
        </w:rPr>
        <w:t>.</w:t>
      </w:r>
      <w:r>
        <w:rPr>
          <w:rFonts w:ascii="Times New Roman" w:eastAsia="標楷體" w:hAnsi="Times New Roman"/>
          <w:color w:val="000000" w:themeColor="text1"/>
          <w:sz w:val="20"/>
          <w:szCs w:val="20"/>
        </w:rPr>
        <w:t>10</w:t>
      </w:r>
      <w:r w:rsidRPr="00B564DF">
        <w:rPr>
          <w:rFonts w:ascii="Times New Roman" w:eastAsia="標楷體" w:hAnsi="Times New Roman"/>
          <w:color w:val="000000" w:themeColor="text1"/>
          <w:sz w:val="20"/>
          <w:szCs w:val="20"/>
        </w:rPr>
        <w:t xml:space="preserve"> Announced in the </w:t>
      </w:r>
      <w:r w:rsidRPr="0040498D">
        <w:rPr>
          <w:rFonts w:ascii="Times New Roman" w:eastAsia="標楷體" w:hAnsi="Times New Roman"/>
          <w:color w:val="000000" w:themeColor="text1"/>
          <w:sz w:val="20"/>
          <w:szCs w:val="20"/>
        </w:rPr>
        <w:t>GaoYiYanFaZi</w:t>
      </w:r>
      <w:r w:rsidRPr="00B564DF">
        <w:rPr>
          <w:rFonts w:ascii="Times New Roman" w:eastAsia="標楷體" w:hAnsi="Times New Roman"/>
          <w:color w:val="000000" w:themeColor="text1"/>
          <w:sz w:val="20"/>
          <w:szCs w:val="20"/>
        </w:rPr>
        <w:t xml:space="preserve"> No. </w:t>
      </w:r>
      <w:r w:rsidRPr="0040498D">
        <w:rPr>
          <w:rFonts w:ascii="Times New Roman" w:eastAsia="標楷體" w:hAnsi="Times New Roman"/>
          <w:color w:val="000000" w:themeColor="text1"/>
          <w:sz w:val="20"/>
          <w:szCs w:val="20"/>
        </w:rPr>
        <w:t>1001100489</w:t>
      </w:r>
      <w:r w:rsidRPr="00B564DF">
        <w:rPr>
          <w:rFonts w:ascii="Times New Roman" w:eastAsia="標楷體" w:hAnsi="Times New Roman"/>
          <w:color w:val="000000" w:themeColor="text1"/>
          <w:sz w:val="20"/>
          <w:szCs w:val="20"/>
        </w:rPr>
        <w:t xml:space="preserve"> Letter</w:t>
      </w:r>
    </w:p>
    <w:p w14:paraId="741DA25B" w14:textId="78E9CE11" w:rsidR="00B564DF" w:rsidRPr="00F1512D" w:rsidRDefault="00B564DF" w:rsidP="00B564DF">
      <w:pPr>
        <w:spacing w:line="0" w:lineRule="atLeast"/>
        <w:ind w:firstLineChars="1347" w:firstLine="2694"/>
        <w:rPr>
          <w:rFonts w:ascii="Times New Roman" w:eastAsia="標楷體" w:hAnsi="Times New Roman"/>
          <w:sz w:val="20"/>
          <w:szCs w:val="20"/>
        </w:rPr>
      </w:pPr>
      <w:r w:rsidRPr="00B564DF">
        <w:rPr>
          <w:rFonts w:ascii="Times New Roman" w:eastAsia="標楷體" w:hAnsi="Times New Roman"/>
          <w:sz w:val="20"/>
          <w:szCs w:val="20"/>
        </w:rPr>
        <w:t>20</w:t>
      </w:r>
      <w:r>
        <w:rPr>
          <w:rFonts w:ascii="Times New Roman" w:eastAsia="標楷體" w:hAnsi="Times New Roman"/>
          <w:sz w:val="20"/>
          <w:szCs w:val="20"/>
        </w:rPr>
        <w:t>12</w:t>
      </w:r>
      <w:r w:rsidRPr="00B564DF">
        <w:rPr>
          <w:rFonts w:ascii="Times New Roman" w:eastAsia="標楷體" w:hAnsi="Times New Roman"/>
          <w:sz w:val="20"/>
          <w:szCs w:val="20"/>
        </w:rPr>
        <w:t>.</w:t>
      </w:r>
      <w:r>
        <w:rPr>
          <w:rFonts w:ascii="Times New Roman" w:eastAsia="標楷體" w:hAnsi="Times New Roman"/>
          <w:sz w:val="20"/>
          <w:szCs w:val="20"/>
        </w:rPr>
        <w:t>1</w:t>
      </w:r>
      <w:r w:rsidRPr="00B564DF">
        <w:rPr>
          <w:rFonts w:ascii="Times New Roman" w:eastAsia="標楷體" w:hAnsi="Times New Roman"/>
          <w:sz w:val="20"/>
          <w:szCs w:val="20"/>
        </w:rPr>
        <w:t>0.1</w:t>
      </w:r>
      <w:r>
        <w:rPr>
          <w:rFonts w:ascii="Times New Roman" w:eastAsia="標楷體" w:hAnsi="Times New Roman"/>
          <w:sz w:val="20"/>
          <w:szCs w:val="20"/>
        </w:rPr>
        <w:t>8</w:t>
      </w:r>
      <w:r w:rsidRPr="00B564DF">
        <w:rPr>
          <w:rFonts w:ascii="Times New Roman" w:eastAsia="標楷體" w:hAnsi="Times New Roman"/>
          <w:sz w:val="20"/>
          <w:szCs w:val="20"/>
        </w:rPr>
        <w:t xml:space="preserve"> Passed in the </w:t>
      </w:r>
      <w:r>
        <w:rPr>
          <w:rFonts w:ascii="Times New Roman" w:eastAsia="標楷體" w:hAnsi="Times New Roman"/>
          <w:sz w:val="20"/>
          <w:szCs w:val="20"/>
        </w:rPr>
        <w:t>3rd</w:t>
      </w:r>
      <w:r w:rsidRPr="00B564DF">
        <w:rPr>
          <w:rFonts w:ascii="Times New Roman" w:eastAsia="標楷體" w:hAnsi="Times New Roman"/>
          <w:sz w:val="20"/>
          <w:szCs w:val="20"/>
        </w:rPr>
        <w:t xml:space="preserve"> Administrative Meeting of the 1</w:t>
      </w:r>
      <w:r>
        <w:rPr>
          <w:rFonts w:ascii="Times New Roman" w:eastAsia="標楷體" w:hAnsi="Times New Roman"/>
          <w:sz w:val="20"/>
          <w:szCs w:val="20"/>
        </w:rPr>
        <w:t>0</w:t>
      </w:r>
      <w:r w:rsidRPr="00B564DF">
        <w:rPr>
          <w:rFonts w:ascii="Times New Roman" w:eastAsia="標楷體" w:hAnsi="Times New Roman"/>
          <w:sz w:val="20"/>
          <w:szCs w:val="20"/>
        </w:rPr>
        <w:t>1</w:t>
      </w:r>
      <w:r>
        <w:rPr>
          <w:rFonts w:ascii="Times New Roman" w:eastAsia="標楷體" w:hAnsi="Times New Roman"/>
          <w:sz w:val="20"/>
          <w:szCs w:val="20"/>
        </w:rPr>
        <w:t>st</w:t>
      </w:r>
      <w:r w:rsidRPr="00B564DF">
        <w:rPr>
          <w:rFonts w:ascii="Times New Roman" w:eastAsia="標楷體" w:hAnsi="Times New Roman"/>
          <w:sz w:val="20"/>
          <w:szCs w:val="20"/>
        </w:rPr>
        <w:t xml:space="preserve"> academic year</w:t>
      </w:r>
    </w:p>
    <w:p w14:paraId="5C1D9E02" w14:textId="4CC18884" w:rsidR="00B564DF" w:rsidRPr="00F1512D" w:rsidRDefault="00B564DF" w:rsidP="00B564DF">
      <w:pPr>
        <w:spacing w:line="0" w:lineRule="atLeast"/>
        <w:ind w:firstLineChars="1347" w:firstLine="2694"/>
        <w:rPr>
          <w:rFonts w:ascii="Times New Roman" w:eastAsia="標楷體" w:hAnsi="Times New Roman"/>
          <w:color w:val="000000" w:themeColor="text1"/>
          <w:sz w:val="20"/>
          <w:szCs w:val="20"/>
        </w:rPr>
      </w:pPr>
      <w:r w:rsidRPr="00B564DF">
        <w:rPr>
          <w:rFonts w:ascii="Times New Roman" w:eastAsia="標楷體" w:hAnsi="Times New Roman"/>
          <w:color w:val="000000" w:themeColor="text1"/>
          <w:sz w:val="20"/>
          <w:szCs w:val="20"/>
        </w:rPr>
        <w:t>20</w:t>
      </w:r>
      <w:r>
        <w:rPr>
          <w:rFonts w:ascii="Times New Roman" w:eastAsia="標楷體" w:hAnsi="Times New Roman"/>
          <w:color w:val="000000" w:themeColor="text1"/>
          <w:sz w:val="20"/>
          <w:szCs w:val="20"/>
        </w:rPr>
        <w:t>12</w:t>
      </w:r>
      <w:r w:rsidRPr="00B564DF">
        <w:rPr>
          <w:rFonts w:ascii="Times New Roman" w:eastAsia="標楷體" w:hAnsi="Times New Roman"/>
          <w:color w:val="000000" w:themeColor="text1"/>
          <w:sz w:val="20"/>
          <w:szCs w:val="20"/>
        </w:rPr>
        <w:t>.</w:t>
      </w:r>
      <w:r>
        <w:rPr>
          <w:rFonts w:ascii="Times New Roman" w:eastAsia="標楷體" w:hAnsi="Times New Roman"/>
          <w:color w:val="000000" w:themeColor="text1"/>
          <w:sz w:val="20"/>
          <w:szCs w:val="20"/>
        </w:rPr>
        <w:t>11</w:t>
      </w:r>
      <w:r w:rsidRPr="00B564DF">
        <w:rPr>
          <w:rFonts w:ascii="Times New Roman" w:eastAsia="標楷體" w:hAnsi="Times New Roman"/>
          <w:color w:val="000000" w:themeColor="text1"/>
          <w:sz w:val="20"/>
          <w:szCs w:val="20"/>
        </w:rPr>
        <w:t>.</w:t>
      </w:r>
      <w:r>
        <w:rPr>
          <w:rFonts w:ascii="Times New Roman" w:eastAsia="標楷體" w:hAnsi="Times New Roman"/>
          <w:color w:val="000000" w:themeColor="text1"/>
          <w:sz w:val="20"/>
          <w:szCs w:val="20"/>
        </w:rPr>
        <w:t>15</w:t>
      </w:r>
      <w:r w:rsidRPr="00B564DF">
        <w:rPr>
          <w:rFonts w:ascii="Times New Roman" w:eastAsia="標楷體" w:hAnsi="Times New Roman"/>
          <w:color w:val="000000" w:themeColor="text1"/>
          <w:sz w:val="20"/>
          <w:szCs w:val="20"/>
        </w:rPr>
        <w:t xml:space="preserve"> Announced in the GaoYiRenZi No. 1011103133 Letter</w:t>
      </w:r>
    </w:p>
    <w:p w14:paraId="0BE6E57E" w14:textId="290E79DB" w:rsidR="00B564DF" w:rsidRPr="00F1512D" w:rsidRDefault="00B564DF" w:rsidP="00B564DF">
      <w:pPr>
        <w:spacing w:line="0" w:lineRule="atLeast"/>
        <w:ind w:firstLineChars="1347" w:firstLine="2694"/>
        <w:rPr>
          <w:rFonts w:ascii="Times New Roman" w:eastAsia="標楷體" w:hAnsi="Times New Roman"/>
          <w:sz w:val="20"/>
          <w:szCs w:val="20"/>
        </w:rPr>
      </w:pPr>
      <w:r w:rsidRPr="00B564DF">
        <w:rPr>
          <w:rFonts w:ascii="Times New Roman" w:eastAsia="標楷體" w:hAnsi="Times New Roman"/>
          <w:sz w:val="20"/>
          <w:szCs w:val="20"/>
        </w:rPr>
        <w:t>20</w:t>
      </w:r>
      <w:r>
        <w:rPr>
          <w:rFonts w:ascii="Times New Roman" w:eastAsia="標楷體" w:hAnsi="Times New Roman"/>
          <w:sz w:val="20"/>
          <w:szCs w:val="20"/>
        </w:rPr>
        <w:t>15</w:t>
      </w:r>
      <w:r w:rsidRPr="00B564DF">
        <w:rPr>
          <w:rFonts w:ascii="Times New Roman" w:eastAsia="標楷體" w:hAnsi="Times New Roman"/>
          <w:sz w:val="20"/>
          <w:szCs w:val="20"/>
        </w:rPr>
        <w:t>.0</w:t>
      </w:r>
      <w:r>
        <w:rPr>
          <w:rFonts w:ascii="Times New Roman" w:eastAsia="標楷體" w:hAnsi="Times New Roman"/>
          <w:sz w:val="20"/>
          <w:szCs w:val="20"/>
        </w:rPr>
        <w:t>3</w:t>
      </w:r>
      <w:r w:rsidRPr="00B564DF">
        <w:rPr>
          <w:rFonts w:ascii="Times New Roman" w:eastAsia="標楷體" w:hAnsi="Times New Roman"/>
          <w:sz w:val="20"/>
          <w:szCs w:val="20"/>
        </w:rPr>
        <w:t>.1</w:t>
      </w:r>
      <w:r>
        <w:rPr>
          <w:rFonts w:ascii="Times New Roman" w:eastAsia="標楷體" w:hAnsi="Times New Roman"/>
          <w:sz w:val="20"/>
          <w:szCs w:val="20"/>
        </w:rPr>
        <w:t>2</w:t>
      </w:r>
      <w:r w:rsidRPr="00B564DF">
        <w:rPr>
          <w:rFonts w:ascii="Times New Roman" w:eastAsia="標楷體" w:hAnsi="Times New Roman"/>
          <w:sz w:val="20"/>
          <w:szCs w:val="20"/>
        </w:rPr>
        <w:t xml:space="preserve"> Passed in the </w:t>
      </w:r>
      <w:r>
        <w:rPr>
          <w:rFonts w:ascii="Times New Roman" w:eastAsia="標楷體" w:hAnsi="Times New Roman"/>
          <w:sz w:val="20"/>
          <w:szCs w:val="20"/>
        </w:rPr>
        <w:t>8</w:t>
      </w:r>
      <w:r w:rsidRPr="00B564DF">
        <w:rPr>
          <w:rFonts w:ascii="Times New Roman" w:eastAsia="標楷體" w:hAnsi="Times New Roman"/>
          <w:sz w:val="20"/>
          <w:szCs w:val="20"/>
        </w:rPr>
        <w:t>th Administrative Meeting of the 1</w:t>
      </w:r>
      <w:r>
        <w:rPr>
          <w:rFonts w:ascii="Times New Roman" w:eastAsia="標楷體" w:hAnsi="Times New Roman"/>
          <w:sz w:val="20"/>
          <w:szCs w:val="20"/>
        </w:rPr>
        <w:t>03rd</w:t>
      </w:r>
      <w:r w:rsidRPr="00B564DF">
        <w:rPr>
          <w:rFonts w:ascii="Times New Roman" w:eastAsia="標楷體" w:hAnsi="Times New Roman"/>
          <w:sz w:val="20"/>
          <w:szCs w:val="20"/>
        </w:rPr>
        <w:t xml:space="preserve"> academic year</w:t>
      </w:r>
    </w:p>
    <w:p w14:paraId="55F23B63" w14:textId="76A8CDC7" w:rsidR="00B564DF" w:rsidRPr="00F1512D" w:rsidRDefault="00B564DF" w:rsidP="00B564DF">
      <w:pPr>
        <w:spacing w:line="0" w:lineRule="atLeast"/>
        <w:ind w:firstLineChars="1347" w:firstLine="2694"/>
        <w:rPr>
          <w:rFonts w:ascii="Times New Roman" w:eastAsia="標楷體" w:hAnsi="Times New Roman"/>
          <w:color w:val="000000" w:themeColor="text1"/>
          <w:sz w:val="20"/>
          <w:szCs w:val="20"/>
        </w:rPr>
      </w:pPr>
      <w:r w:rsidRPr="00B564DF">
        <w:rPr>
          <w:rFonts w:ascii="Times New Roman" w:eastAsia="標楷體" w:hAnsi="Times New Roman"/>
          <w:color w:val="000000" w:themeColor="text1"/>
          <w:sz w:val="20"/>
          <w:szCs w:val="20"/>
        </w:rPr>
        <w:t>20</w:t>
      </w:r>
      <w:r>
        <w:rPr>
          <w:rFonts w:ascii="Times New Roman" w:eastAsia="標楷體" w:hAnsi="Times New Roman"/>
          <w:color w:val="000000" w:themeColor="text1"/>
          <w:sz w:val="20"/>
          <w:szCs w:val="20"/>
        </w:rPr>
        <w:t>15</w:t>
      </w:r>
      <w:r w:rsidRPr="00B564DF">
        <w:rPr>
          <w:rFonts w:ascii="Times New Roman" w:eastAsia="標楷體" w:hAnsi="Times New Roman"/>
          <w:color w:val="000000" w:themeColor="text1"/>
          <w:sz w:val="20"/>
          <w:szCs w:val="20"/>
        </w:rPr>
        <w:t>.0</w:t>
      </w:r>
      <w:r>
        <w:rPr>
          <w:rFonts w:ascii="Times New Roman" w:eastAsia="標楷體" w:hAnsi="Times New Roman"/>
          <w:color w:val="000000" w:themeColor="text1"/>
          <w:sz w:val="20"/>
          <w:szCs w:val="20"/>
        </w:rPr>
        <w:t>4</w:t>
      </w:r>
      <w:r w:rsidRPr="00B564DF">
        <w:rPr>
          <w:rFonts w:ascii="Times New Roman" w:eastAsia="標楷體" w:hAnsi="Times New Roman"/>
          <w:color w:val="000000" w:themeColor="text1"/>
          <w:sz w:val="20"/>
          <w:szCs w:val="20"/>
        </w:rPr>
        <w:t>.0</w:t>
      </w:r>
      <w:r>
        <w:rPr>
          <w:rFonts w:ascii="Times New Roman" w:eastAsia="標楷體" w:hAnsi="Times New Roman"/>
          <w:color w:val="000000" w:themeColor="text1"/>
          <w:sz w:val="20"/>
          <w:szCs w:val="20"/>
        </w:rPr>
        <w:t>8</w:t>
      </w:r>
      <w:r w:rsidRPr="00B564DF">
        <w:rPr>
          <w:rFonts w:ascii="Times New Roman" w:eastAsia="標楷體" w:hAnsi="Times New Roman"/>
          <w:color w:val="000000" w:themeColor="text1"/>
          <w:sz w:val="20"/>
          <w:szCs w:val="20"/>
        </w:rPr>
        <w:t xml:space="preserve"> Announced in the GaoYiRenZi No. 1041101092 Letter</w:t>
      </w:r>
    </w:p>
    <w:p w14:paraId="40872418" w14:textId="5FA39CDB" w:rsidR="00B564DF" w:rsidRPr="00B564DF" w:rsidRDefault="00B564DF" w:rsidP="00B564DF">
      <w:pPr>
        <w:spacing w:line="0" w:lineRule="atLeast"/>
        <w:ind w:firstLineChars="1347" w:firstLine="2694"/>
        <w:rPr>
          <w:rFonts w:ascii="Times New Roman" w:eastAsia="標楷體" w:hAnsi="Times New Roman"/>
          <w:color w:val="000000" w:themeColor="text1"/>
          <w:sz w:val="20"/>
          <w:szCs w:val="20"/>
        </w:rPr>
      </w:pPr>
      <w:r w:rsidRPr="00B564DF">
        <w:rPr>
          <w:rFonts w:ascii="Times New Roman" w:eastAsia="標楷體" w:hAnsi="Times New Roman"/>
          <w:color w:val="000000" w:themeColor="text1"/>
          <w:sz w:val="20"/>
          <w:szCs w:val="20"/>
        </w:rPr>
        <w:t>202</w:t>
      </w:r>
      <w:r>
        <w:rPr>
          <w:rFonts w:ascii="Times New Roman" w:eastAsia="標楷體" w:hAnsi="Times New Roman"/>
          <w:color w:val="000000" w:themeColor="text1"/>
          <w:sz w:val="20"/>
          <w:szCs w:val="20"/>
        </w:rPr>
        <w:t>4</w:t>
      </w:r>
      <w:r w:rsidRPr="00B564DF">
        <w:rPr>
          <w:rFonts w:ascii="Times New Roman" w:eastAsia="標楷體" w:hAnsi="Times New Roman"/>
          <w:color w:val="000000" w:themeColor="text1"/>
          <w:sz w:val="20"/>
          <w:szCs w:val="20"/>
        </w:rPr>
        <w:t>.</w:t>
      </w:r>
      <w:r>
        <w:rPr>
          <w:rFonts w:ascii="Times New Roman" w:eastAsia="標楷體" w:hAnsi="Times New Roman"/>
          <w:color w:val="000000" w:themeColor="text1"/>
          <w:sz w:val="20"/>
          <w:szCs w:val="20"/>
        </w:rPr>
        <w:t>12</w:t>
      </w:r>
      <w:r w:rsidRPr="00B564DF">
        <w:rPr>
          <w:rFonts w:ascii="Times New Roman" w:eastAsia="標楷體" w:hAnsi="Times New Roman"/>
          <w:color w:val="000000" w:themeColor="text1"/>
          <w:sz w:val="20"/>
          <w:szCs w:val="20"/>
        </w:rPr>
        <w:t>.</w:t>
      </w:r>
      <w:r>
        <w:rPr>
          <w:rFonts w:ascii="Times New Roman" w:eastAsia="標楷體" w:hAnsi="Times New Roman"/>
          <w:color w:val="000000" w:themeColor="text1"/>
          <w:sz w:val="20"/>
          <w:szCs w:val="20"/>
        </w:rPr>
        <w:t>25</w:t>
      </w:r>
      <w:r w:rsidRPr="00B564DF">
        <w:rPr>
          <w:rFonts w:ascii="Times New Roman" w:eastAsia="標楷體" w:hAnsi="Times New Roman"/>
          <w:color w:val="000000" w:themeColor="text1"/>
          <w:sz w:val="20"/>
          <w:szCs w:val="20"/>
        </w:rPr>
        <w:t xml:space="preserve"> Passed in the </w:t>
      </w:r>
      <w:r>
        <w:rPr>
          <w:rFonts w:ascii="Times New Roman" w:eastAsia="標楷體" w:hAnsi="Times New Roman"/>
          <w:color w:val="000000" w:themeColor="text1"/>
          <w:sz w:val="20"/>
          <w:szCs w:val="20"/>
        </w:rPr>
        <w:t>5</w:t>
      </w:r>
      <w:r w:rsidRPr="00B564DF">
        <w:rPr>
          <w:rFonts w:ascii="Times New Roman" w:eastAsia="標楷體" w:hAnsi="Times New Roman"/>
          <w:color w:val="000000" w:themeColor="text1"/>
          <w:sz w:val="20"/>
          <w:szCs w:val="20"/>
        </w:rPr>
        <w:t>th Administrative Meeting of the 11</w:t>
      </w:r>
      <w:r>
        <w:rPr>
          <w:rFonts w:ascii="Times New Roman" w:eastAsia="標楷體" w:hAnsi="Times New Roman"/>
          <w:color w:val="000000" w:themeColor="text1"/>
          <w:sz w:val="20"/>
          <w:szCs w:val="20"/>
        </w:rPr>
        <w:t>3rd</w:t>
      </w:r>
      <w:r w:rsidRPr="00B564DF">
        <w:rPr>
          <w:rFonts w:ascii="Times New Roman" w:eastAsia="標楷體" w:hAnsi="Times New Roman"/>
          <w:color w:val="000000" w:themeColor="text1"/>
          <w:sz w:val="20"/>
          <w:szCs w:val="20"/>
        </w:rPr>
        <w:t xml:space="preserve"> academic year</w:t>
      </w:r>
    </w:p>
    <w:p w14:paraId="16C9D4B4" w14:textId="70BC172B" w:rsidR="00B564DF" w:rsidRDefault="00B564DF" w:rsidP="00B564DF">
      <w:pPr>
        <w:spacing w:line="0" w:lineRule="atLeast"/>
        <w:ind w:firstLineChars="1347" w:firstLine="2694"/>
        <w:rPr>
          <w:rFonts w:ascii="Times New Roman" w:eastAsia="標楷體" w:hAnsi="Times New Roman"/>
          <w:color w:val="000000" w:themeColor="text1"/>
          <w:sz w:val="20"/>
          <w:szCs w:val="20"/>
        </w:rPr>
      </w:pPr>
      <w:r w:rsidRPr="00B564DF">
        <w:rPr>
          <w:rFonts w:ascii="Times New Roman" w:eastAsia="標楷體" w:hAnsi="Times New Roman"/>
          <w:color w:val="000000" w:themeColor="text1"/>
          <w:sz w:val="20"/>
          <w:szCs w:val="20"/>
        </w:rPr>
        <w:t>202</w:t>
      </w:r>
      <w:r>
        <w:rPr>
          <w:rFonts w:ascii="Times New Roman" w:eastAsia="標楷體" w:hAnsi="Times New Roman"/>
          <w:color w:val="000000" w:themeColor="text1"/>
          <w:sz w:val="20"/>
          <w:szCs w:val="20"/>
        </w:rPr>
        <w:t>5</w:t>
      </w:r>
      <w:r w:rsidRPr="00B564DF">
        <w:rPr>
          <w:rFonts w:ascii="Times New Roman" w:eastAsia="標楷體" w:hAnsi="Times New Roman"/>
          <w:color w:val="000000" w:themeColor="text1"/>
          <w:sz w:val="20"/>
          <w:szCs w:val="20"/>
        </w:rPr>
        <w:t>.0</w:t>
      </w:r>
      <w:r>
        <w:rPr>
          <w:rFonts w:ascii="Times New Roman" w:eastAsia="標楷體" w:hAnsi="Times New Roman"/>
          <w:color w:val="000000" w:themeColor="text1"/>
          <w:sz w:val="20"/>
          <w:szCs w:val="20"/>
        </w:rPr>
        <w:t>1</w:t>
      </w:r>
      <w:r w:rsidRPr="00B564DF">
        <w:rPr>
          <w:rFonts w:ascii="Times New Roman" w:eastAsia="標楷體" w:hAnsi="Times New Roman"/>
          <w:color w:val="000000" w:themeColor="text1"/>
          <w:sz w:val="20"/>
          <w:szCs w:val="20"/>
        </w:rPr>
        <w:t>.0</w:t>
      </w:r>
      <w:r>
        <w:rPr>
          <w:rFonts w:ascii="Times New Roman" w:eastAsia="標楷體" w:hAnsi="Times New Roman"/>
          <w:color w:val="000000" w:themeColor="text1"/>
          <w:sz w:val="20"/>
          <w:szCs w:val="20"/>
        </w:rPr>
        <w:t>6</w:t>
      </w:r>
      <w:r w:rsidRPr="00B564DF">
        <w:rPr>
          <w:rFonts w:ascii="Times New Roman" w:eastAsia="標楷體" w:hAnsi="Times New Roman"/>
          <w:color w:val="000000" w:themeColor="text1"/>
          <w:sz w:val="20"/>
          <w:szCs w:val="20"/>
        </w:rPr>
        <w:t xml:space="preserve"> Announced in the GaoYiRenZi No. 1141100029 Letter</w:t>
      </w:r>
    </w:p>
    <w:p w14:paraId="7AD1C986" w14:textId="77777777" w:rsidR="00041541" w:rsidRPr="00F1512D" w:rsidRDefault="00041541" w:rsidP="00B564DF">
      <w:pPr>
        <w:spacing w:line="0" w:lineRule="atLeast"/>
        <w:ind w:firstLineChars="1347" w:firstLine="2694"/>
        <w:rPr>
          <w:rFonts w:ascii="Times New Roman" w:eastAsia="標楷體" w:hAnsi="Times New Roman"/>
          <w:color w:val="000000" w:themeColor="text1"/>
          <w:sz w:val="20"/>
          <w:szCs w:val="20"/>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357"/>
      </w:tblGrid>
      <w:tr w:rsidR="00041541" w14:paraId="647880D3" w14:textId="77777777" w:rsidTr="00BC3A53">
        <w:tc>
          <w:tcPr>
            <w:tcW w:w="1276" w:type="dxa"/>
          </w:tcPr>
          <w:p w14:paraId="78E4AAF3" w14:textId="1A1655DB" w:rsidR="00041541" w:rsidRDefault="00041541" w:rsidP="00041541">
            <w:pPr>
              <w:spacing w:line="360" w:lineRule="exact"/>
              <w:jc w:val="both"/>
              <w:rPr>
                <w:rFonts w:ascii="Times New Roman" w:eastAsia="標楷體" w:hAnsi="Times New Roman"/>
              </w:rPr>
            </w:pPr>
            <w:r w:rsidRPr="00041541">
              <w:rPr>
                <w:rFonts w:ascii="Times New Roman" w:eastAsia="標楷體" w:hAnsi="Times New Roman"/>
              </w:rPr>
              <w:t>Article 1</w:t>
            </w:r>
          </w:p>
        </w:tc>
        <w:tc>
          <w:tcPr>
            <w:tcW w:w="8357" w:type="dxa"/>
          </w:tcPr>
          <w:p w14:paraId="777F29EE" w14:textId="16A4237B" w:rsidR="00041541" w:rsidRDefault="00041541" w:rsidP="00041541">
            <w:pPr>
              <w:spacing w:line="360" w:lineRule="exact"/>
              <w:jc w:val="both"/>
              <w:rPr>
                <w:rFonts w:ascii="Times New Roman" w:eastAsia="標楷體" w:hAnsi="Times New Roman"/>
              </w:rPr>
            </w:pPr>
            <w:r w:rsidRPr="00F1512D">
              <w:rPr>
                <w:rFonts w:ascii="Times New Roman" w:eastAsia="標楷體" w:hAnsi="Times New Roman"/>
              </w:rPr>
              <w:t>Each unit of the University inviting domestic or international scholars and experts to conduct special lectures (including co-teaching in courses), provide guidance, or offer consultation on university affairs shall comply with these guidelines unless otherwise stipulated by the funding agency.</w:t>
            </w:r>
          </w:p>
        </w:tc>
      </w:tr>
      <w:tr w:rsidR="00041541" w14:paraId="3F233BAA" w14:textId="77777777" w:rsidTr="00BC3A53">
        <w:tc>
          <w:tcPr>
            <w:tcW w:w="1276" w:type="dxa"/>
          </w:tcPr>
          <w:p w14:paraId="7DF3181C" w14:textId="5B59F1A3" w:rsidR="00041541" w:rsidRDefault="00041541" w:rsidP="00041541">
            <w:pPr>
              <w:spacing w:line="360" w:lineRule="exact"/>
              <w:jc w:val="both"/>
              <w:rPr>
                <w:rFonts w:ascii="Times New Roman" w:eastAsia="標楷體" w:hAnsi="Times New Roman"/>
              </w:rPr>
            </w:pPr>
            <w:r w:rsidRPr="00041541">
              <w:rPr>
                <w:rFonts w:ascii="Times New Roman" w:eastAsia="標楷體" w:hAnsi="Times New Roman"/>
              </w:rPr>
              <w:t xml:space="preserve">Article </w:t>
            </w:r>
            <w:r>
              <w:rPr>
                <w:rFonts w:ascii="Times New Roman" w:eastAsia="標楷體" w:hAnsi="Times New Roman"/>
              </w:rPr>
              <w:t>2</w:t>
            </w:r>
          </w:p>
        </w:tc>
        <w:tc>
          <w:tcPr>
            <w:tcW w:w="8357" w:type="dxa"/>
          </w:tcPr>
          <w:p w14:paraId="71F0D4DE" w14:textId="1D05683F" w:rsidR="00041541" w:rsidRDefault="00041541" w:rsidP="00041541">
            <w:pPr>
              <w:spacing w:line="360" w:lineRule="exact"/>
              <w:jc w:val="both"/>
              <w:rPr>
                <w:rFonts w:ascii="Times New Roman" w:eastAsia="標楷體" w:hAnsi="Times New Roman"/>
              </w:rPr>
            </w:pPr>
            <w:r w:rsidRPr="00681DCA">
              <w:rPr>
                <w:rFonts w:ascii="Times New Roman" w:eastAsia="標楷體" w:hAnsi="Times New Roman"/>
              </w:rPr>
              <w:t>Application Procedure</w:t>
            </w:r>
            <w:r>
              <w:rPr>
                <w:rFonts w:ascii="Times New Roman" w:eastAsia="標楷體" w:hAnsi="Times New Roman"/>
              </w:rPr>
              <w:t>:</w:t>
            </w:r>
            <w:r w:rsidRPr="00681DCA">
              <w:rPr>
                <w:rFonts w:ascii="Times New Roman" w:eastAsia="標楷體" w:hAnsi="Times New Roman"/>
              </w:rPr>
              <w:br/>
            </w:r>
            <w:r w:rsidRPr="00F1512D">
              <w:rPr>
                <w:rFonts w:ascii="Times New Roman" w:eastAsia="標楷體" w:hAnsi="Times New Roman"/>
              </w:rPr>
              <w:t>Units shall submit an application at least two weeks before the scholar's or expert's visit. The application must be approved by the University President before processing. In exceptional cases where the application cannot be submitted within the prescribed period, the unit head shall report to the University President in person for approval and subsequently complete the application process.</w:t>
            </w:r>
          </w:p>
        </w:tc>
      </w:tr>
      <w:tr w:rsidR="00041541" w14:paraId="10453E11" w14:textId="77777777" w:rsidTr="00BC3A53">
        <w:tc>
          <w:tcPr>
            <w:tcW w:w="1276" w:type="dxa"/>
          </w:tcPr>
          <w:p w14:paraId="45B4BBB4" w14:textId="70717255" w:rsidR="00041541" w:rsidRDefault="00041541" w:rsidP="00041541">
            <w:pPr>
              <w:spacing w:line="360" w:lineRule="exact"/>
              <w:jc w:val="both"/>
              <w:rPr>
                <w:rFonts w:ascii="Times New Roman" w:eastAsia="標楷體" w:hAnsi="Times New Roman"/>
              </w:rPr>
            </w:pPr>
            <w:r w:rsidRPr="00041541">
              <w:rPr>
                <w:rFonts w:ascii="Times New Roman" w:eastAsia="標楷體" w:hAnsi="Times New Roman"/>
              </w:rPr>
              <w:t xml:space="preserve">Article </w:t>
            </w:r>
            <w:r>
              <w:rPr>
                <w:rFonts w:ascii="Times New Roman" w:eastAsia="標楷體" w:hAnsi="Times New Roman"/>
              </w:rPr>
              <w:t>3</w:t>
            </w:r>
          </w:p>
        </w:tc>
        <w:tc>
          <w:tcPr>
            <w:tcW w:w="8357" w:type="dxa"/>
          </w:tcPr>
          <w:p w14:paraId="4191C527" w14:textId="1C41C826" w:rsidR="00041541" w:rsidRPr="00041541" w:rsidRDefault="00041541" w:rsidP="00041541">
            <w:pPr>
              <w:rPr>
                <w:rFonts w:ascii="Times New Roman" w:eastAsia="標楷體" w:hAnsi="Times New Roman"/>
              </w:rPr>
            </w:pPr>
            <w:r w:rsidRPr="003F2739">
              <w:rPr>
                <w:rFonts w:ascii="Times New Roman" w:eastAsia="標楷體" w:hAnsi="Times New Roman"/>
              </w:rPr>
              <w:t xml:space="preserve">Funding Source: </w:t>
            </w:r>
            <w:r w:rsidRPr="00F1512D">
              <w:rPr>
                <w:rFonts w:ascii="Times New Roman" w:eastAsia="標楷體" w:hAnsi="Times New Roman"/>
              </w:rPr>
              <w:t>Expenses shall be covered by the University's relevant budget allocations.</w:t>
            </w:r>
          </w:p>
        </w:tc>
      </w:tr>
      <w:tr w:rsidR="00041541" w14:paraId="3CDA6D42" w14:textId="77777777" w:rsidTr="00BC3A53">
        <w:tc>
          <w:tcPr>
            <w:tcW w:w="1276" w:type="dxa"/>
          </w:tcPr>
          <w:p w14:paraId="4B6ABDEF" w14:textId="2C02A7BB" w:rsidR="00041541" w:rsidRDefault="00041541" w:rsidP="00041541">
            <w:pPr>
              <w:spacing w:line="360" w:lineRule="exact"/>
              <w:jc w:val="both"/>
              <w:rPr>
                <w:rFonts w:ascii="Times New Roman" w:eastAsia="標楷體" w:hAnsi="Times New Roman"/>
              </w:rPr>
            </w:pPr>
            <w:r w:rsidRPr="00041541">
              <w:rPr>
                <w:rFonts w:ascii="Times New Roman" w:eastAsia="標楷體" w:hAnsi="Times New Roman"/>
              </w:rPr>
              <w:t xml:space="preserve">Article </w:t>
            </w:r>
            <w:r>
              <w:rPr>
                <w:rFonts w:ascii="Times New Roman" w:eastAsia="標楷體" w:hAnsi="Times New Roman"/>
              </w:rPr>
              <w:t>4</w:t>
            </w:r>
          </w:p>
        </w:tc>
        <w:tc>
          <w:tcPr>
            <w:tcW w:w="8357" w:type="dxa"/>
          </w:tcPr>
          <w:p w14:paraId="591130F6" w14:textId="67E6FA07" w:rsidR="00041541" w:rsidRDefault="00041541" w:rsidP="00041541">
            <w:pPr>
              <w:spacing w:line="360" w:lineRule="exact"/>
              <w:rPr>
                <w:rFonts w:ascii="Times New Roman" w:eastAsia="標楷體" w:hAnsi="Times New Roman"/>
              </w:rPr>
            </w:pPr>
            <w:r w:rsidRPr="003F2739">
              <w:rPr>
                <w:rFonts w:ascii="Times New Roman" w:eastAsia="標楷體" w:hAnsi="Times New Roman"/>
              </w:rPr>
              <w:t>Standards for Special Lecture Fees, Guidance Fees, Consultation Fees, and Related Expenses</w:t>
            </w:r>
            <w:r>
              <w:rPr>
                <w:rFonts w:ascii="Times New Roman" w:eastAsia="標楷體" w:hAnsi="Times New Roman"/>
              </w:rPr>
              <w:t>:</w:t>
            </w:r>
          </w:p>
          <w:p w14:paraId="26FFB59B" w14:textId="11F02F34" w:rsidR="00041541" w:rsidRDefault="00041541" w:rsidP="00041541">
            <w:pPr>
              <w:pStyle w:val="ae"/>
              <w:numPr>
                <w:ilvl w:val="0"/>
                <w:numId w:val="9"/>
              </w:numPr>
              <w:snapToGrid w:val="0"/>
              <w:spacing w:line="360" w:lineRule="exact"/>
              <w:ind w:leftChars="0"/>
              <w:rPr>
                <w:rFonts w:ascii="Times New Roman" w:eastAsia="標楷體" w:hAnsi="Times New Roman"/>
              </w:rPr>
            </w:pPr>
            <w:r w:rsidRPr="003F2739">
              <w:rPr>
                <w:rFonts w:ascii="Times New Roman" w:eastAsia="標楷體" w:hAnsi="Times New Roman"/>
              </w:rPr>
              <w:t>Lecture, Guidance, and Consultation Fees:</w:t>
            </w:r>
          </w:p>
          <w:p w14:paraId="464F9710" w14:textId="4F30AE56" w:rsidR="00041541" w:rsidRDefault="00041541" w:rsidP="00041541">
            <w:pPr>
              <w:pStyle w:val="ae"/>
              <w:numPr>
                <w:ilvl w:val="0"/>
                <w:numId w:val="10"/>
              </w:numPr>
              <w:snapToGrid w:val="0"/>
              <w:spacing w:line="360" w:lineRule="exact"/>
              <w:ind w:leftChars="0"/>
              <w:rPr>
                <w:rFonts w:ascii="Times New Roman" w:eastAsia="標楷體" w:hAnsi="Times New Roman"/>
              </w:rPr>
            </w:pPr>
            <w:r w:rsidRPr="003F2739">
              <w:rPr>
                <w:rFonts w:ascii="Times New Roman" w:eastAsia="標楷體" w:hAnsi="Times New Roman"/>
              </w:rPr>
              <w:t xml:space="preserve">Recipients of Nobel or other prestigious international academic awards: </w:t>
            </w:r>
            <w:r w:rsidRPr="00F1512D">
              <w:rPr>
                <w:rFonts w:ascii="Times New Roman" w:eastAsia="標楷體" w:hAnsi="Times New Roman"/>
              </w:rPr>
              <w:t>NT$20,000 per session, subject to special approval by the University President in exceptional cases.</w:t>
            </w:r>
          </w:p>
          <w:p w14:paraId="14CE7379" w14:textId="4C5C1F64" w:rsidR="00041541" w:rsidRDefault="00041541" w:rsidP="00041541">
            <w:pPr>
              <w:pStyle w:val="ae"/>
              <w:numPr>
                <w:ilvl w:val="0"/>
                <w:numId w:val="10"/>
              </w:numPr>
              <w:snapToGrid w:val="0"/>
              <w:spacing w:line="360" w:lineRule="exact"/>
              <w:ind w:leftChars="0"/>
              <w:rPr>
                <w:rFonts w:ascii="Times New Roman" w:eastAsia="標楷體" w:hAnsi="Times New Roman"/>
              </w:rPr>
            </w:pPr>
            <w:r w:rsidRPr="00041541">
              <w:rPr>
                <w:rFonts w:ascii="Times New Roman" w:eastAsia="標楷體" w:hAnsi="Times New Roman"/>
              </w:rPr>
              <w:t xml:space="preserve">Academicians of Academia Sinica or internationally renowned National Academy of Sciences (NAS) </w:t>
            </w:r>
            <w:r>
              <w:rPr>
                <w:rFonts w:ascii="Times New Roman" w:eastAsia="標楷體" w:hAnsi="Times New Roman"/>
              </w:rPr>
              <w:t>members</w:t>
            </w:r>
            <w:r w:rsidRPr="00041541">
              <w:rPr>
                <w:rFonts w:ascii="Times New Roman" w:eastAsia="標楷體" w:hAnsi="Times New Roman"/>
              </w:rPr>
              <w:t>, or distinguished scholars and experts: Up to NT$15,000 per session.</w:t>
            </w:r>
          </w:p>
          <w:p w14:paraId="2EFFD5EB" w14:textId="66CE502F" w:rsidR="00041541" w:rsidRDefault="00041541" w:rsidP="00041541">
            <w:pPr>
              <w:pStyle w:val="ae"/>
              <w:numPr>
                <w:ilvl w:val="0"/>
                <w:numId w:val="10"/>
              </w:numPr>
              <w:snapToGrid w:val="0"/>
              <w:spacing w:line="360" w:lineRule="exact"/>
              <w:ind w:leftChars="0"/>
              <w:rPr>
                <w:rFonts w:ascii="Times New Roman" w:eastAsia="標楷體" w:hAnsi="Times New Roman"/>
              </w:rPr>
            </w:pPr>
            <w:r w:rsidRPr="00041541">
              <w:rPr>
                <w:rFonts w:ascii="Times New Roman" w:eastAsia="標楷體" w:hAnsi="Times New Roman"/>
              </w:rPr>
              <w:t>Recipients of the Ministry of Education Academic Award, National Chair Professors, Highly Cited Researchers, internationally renowned chair professors, heads, or deputy heads of government agencies: Up to NT$10,000 per session.</w:t>
            </w:r>
          </w:p>
          <w:p w14:paraId="13E71A61" w14:textId="4A77F6CA" w:rsidR="00041541" w:rsidRDefault="00041541" w:rsidP="00041541">
            <w:pPr>
              <w:pStyle w:val="ae"/>
              <w:numPr>
                <w:ilvl w:val="0"/>
                <w:numId w:val="10"/>
              </w:numPr>
              <w:snapToGrid w:val="0"/>
              <w:spacing w:line="360" w:lineRule="exact"/>
              <w:ind w:leftChars="0"/>
              <w:rPr>
                <w:rFonts w:ascii="Times New Roman" w:eastAsia="標楷體" w:hAnsi="Times New Roman"/>
              </w:rPr>
            </w:pPr>
            <w:r w:rsidRPr="00041541">
              <w:rPr>
                <w:rFonts w:ascii="Times New Roman" w:eastAsia="標楷體" w:hAnsi="Times New Roman"/>
              </w:rPr>
              <w:t>International scholars and experts: Up to NT$8,000 per session.</w:t>
            </w:r>
          </w:p>
          <w:p w14:paraId="774389F5" w14:textId="5A9A7024" w:rsidR="00041541" w:rsidRDefault="00041541" w:rsidP="00041541">
            <w:pPr>
              <w:pStyle w:val="ae"/>
              <w:numPr>
                <w:ilvl w:val="0"/>
                <w:numId w:val="10"/>
              </w:numPr>
              <w:snapToGrid w:val="0"/>
              <w:spacing w:line="360" w:lineRule="exact"/>
              <w:ind w:leftChars="0"/>
              <w:rPr>
                <w:rFonts w:ascii="Times New Roman" w:eastAsia="標楷體" w:hAnsi="Times New Roman"/>
              </w:rPr>
            </w:pPr>
            <w:r w:rsidRPr="00041541">
              <w:rPr>
                <w:rFonts w:ascii="Times New Roman" w:eastAsia="標楷體" w:hAnsi="Times New Roman"/>
              </w:rPr>
              <w:t>Domestic scholars, experts, or distinguished professors: Up to NT$6,000 per session.</w:t>
            </w:r>
          </w:p>
          <w:p w14:paraId="71CD0026" w14:textId="47A27F9B" w:rsidR="00041541" w:rsidRDefault="00BC3A53" w:rsidP="00041541">
            <w:pPr>
              <w:pStyle w:val="ae"/>
              <w:numPr>
                <w:ilvl w:val="0"/>
                <w:numId w:val="10"/>
              </w:numPr>
              <w:snapToGrid w:val="0"/>
              <w:spacing w:line="360" w:lineRule="exact"/>
              <w:ind w:leftChars="0"/>
              <w:rPr>
                <w:rFonts w:ascii="Times New Roman" w:eastAsia="標楷體" w:hAnsi="Times New Roman" w:hint="eastAsia"/>
              </w:rPr>
            </w:pPr>
            <w:r w:rsidRPr="00BC3A53">
              <w:rPr>
                <w:rFonts w:ascii="Times New Roman" w:eastAsia="標楷體" w:hAnsi="Times New Roman"/>
              </w:rPr>
              <w:t xml:space="preserve">Individuals with special status or those engaged in full-day activities may </w:t>
            </w:r>
            <w:r w:rsidRPr="00BC3A53">
              <w:rPr>
                <w:rFonts w:ascii="Times New Roman" w:eastAsia="標楷體" w:hAnsi="Times New Roman"/>
              </w:rPr>
              <w:lastRenderedPageBreak/>
              <w:t>receive up to a 50% increase in fees, subject to the University President’s approval. Special lectures and guidance fees are calculated per session, regardless of duration or audience size.</w:t>
            </w:r>
          </w:p>
          <w:p w14:paraId="5D049D1D" w14:textId="61AF46F3" w:rsidR="00041541" w:rsidRPr="003F2739" w:rsidRDefault="00041541" w:rsidP="00041541">
            <w:pPr>
              <w:pStyle w:val="ae"/>
              <w:numPr>
                <w:ilvl w:val="0"/>
                <w:numId w:val="9"/>
              </w:numPr>
              <w:snapToGrid w:val="0"/>
              <w:spacing w:line="360" w:lineRule="exact"/>
              <w:ind w:leftChars="0"/>
              <w:rPr>
                <w:rFonts w:ascii="Times New Roman" w:eastAsia="標楷體" w:hAnsi="Times New Roman"/>
              </w:rPr>
            </w:pPr>
            <w:r w:rsidRPr="00041541">
              <w:rPr>
                <w:rFonts w:ascii="Times New Roman" w:eastAsia="標楷體" w:hAnsi="Times New Roman"/>
              </w:rPr>
              <w:t>Transportation and Accommodation Fees:</w:t>
            </w:r>
          </w:p>
          <w:p w14:paraId="2312C040" w14:textId="6998431C" w:rsidR="00041541" w:rsidRPr="00BC3A53" w:rsidRDefault="00BC3A53" w:rsidP="00BC3A53">
            <w:pPr>
              <w:pStyle w:val="ae"/>
              <w:numPr>
                <w:ilvl w:val="0"/>
                <w:numId w:val="11"/>
              </w:numPr>
              <w:spacing w:line="360" w:lineRule="exact"/>
              <w:ind w:leftChars="0"/>
              <w:rPr>
                <w:rFonts w:ascii="Times New Roman" w:eastAsia="標楷體" w:hAnsi="Times New Roman"/>
              </w:rPr>
            </w:pPr>
            <w:r w:rsidRPr="00BC3A53">
              <w:rPr>
                <w:rFonts w:ascii="Times New Roman" w:eastAsia="標楷體" w:hAnsi="Times New Roman"/>
              </w:rPr>
              <w:t>Domestic: Reimbursed in accordance with the University’s “Standards for Reimbursement of Domestic Travel Expenses for Faculty and Staff.” However, for same-day round trips via High-Speed Rail, the traveler's certification shall suffice, and ticket stubs or proof of purchase need not be provided.</w:t>
            </w:r>
          </w:p>
          <w:p w14:paraId="1936E267" w14:textId="4E33ACD4" w:rsidR="00BC3A53" w:rsidRDefault="00BC3A53" w:rsidP="00BC3A53">
            <w:pPr>
              <w:pStyle w:val="ae"/>
              <w:numPr>
                <w:ilvl w:val="0"/>
                <w:numId w:val="11"/>
              </w:numPr>
              <w:spacing w:line="360" w:lineRule="exact"/>
              <w:ind w:leftChars="0"/>
              <w:rPr>
                <w:rFonts w:ascii="Times New Roman" w:eastAsia="標楷體" w:hAnsi="Times New Roman"/>
              </w:rPr>
            </w:pPr>
            <w:r w:rsidRPr="00BC3A53">
              <w:rPr>
                <w:rFonts w:ascii="Times New Roman" w:eastAsia="標楷體" w:hAnsi="Times New Roman"/>
              </w:rPr>
              <w:t>International: Paid according to the Executive Yuan’s “Maximum Payment Standards for Hiring Foreign Consultants, Experts, and Scholars to Work in Taiwan.”</w:t>
            </w:r>
          </w:p>
          <w:p w14:paraId="590556A9" w14:textId="5F11C8DE" w:rsidR="00041541" w:rsidRPr="00041541" w:rsidRDefault="00BC3A53" w:rsidP="00BC3A53">
            <w:pPr>
              <w:pStyle w:val="ae"/>
              <w:numPr>
                <w:ilvl w:val="0"/>
                <w:numId w:val="11"/>
              </w:numPr>
              <w:spacing w:line="360" w:lineRule="exact"/>
              <w:ind w:leftChars="0"/>
              <w:rPr>
                <w:rFonts w:ascii="Times New Roman" w:eastAsia="標楷體" w:hAnsi="Times New Roman"/>
              </w:rPr>
            </w:pPr>
            <w:r w:rsidRPr="00BC3A53">
              <w:rPr>
                <w:rFonts w:ascii="Times New Roman" w:eastAsia="標楷體" w:hAnsi="Times New Roman"/>
              </w:rPr>
              <w:t>Individuals with special status or circumstances may request business class airfare and accommodation, subject to the University President’s approval.</w:t>
            </w:r>
          </w:p>
        </w:tc>
      </w:tr>
      <w:tr w:rsidR="00041541" w14:paraId="35B8A93F" w14:textId="77777777" w:rsidTr="00BC3A53">
        <w:tc>
          <w:tcPr>
            <w:tcW w:w="1276" w:type="dxa"/>
          </w:tcPr>
          <w:p w14:paraId="229E4AFB" w14:textId="65C6C31B" w:rsidR="00041541" w:rsidRDefault="00041541" w:rsidP="00041541">
            <w:pPr>
              <w:spacing w:line="360" w:lineRule="exact"/>
              <w:jc w:val="both"/>
              <w:rPr>
                <w:rFonts w:ascii="Times New Roman" w:eastAsia="標楷體" w:hAnsi="Times New Roman"/>
              </w:rPr>
            </w:pPr>
            <w:r w:rsidRPr="00041541">
              <w:rPr>
                <w:rFonts w:ascii="Times New Roman" w:eastAsia="標楷體" w:hAnsi="Times New Roman"/>
              </w:rPr>
              <w:lastRenderedPageBreak/>
              <w:t xml:space="preserve">Article </w:t>
            </w:r>
            <w:r>
              <w:rPr>
                <w:rFonts w:ascii="Times New Roman" w:eastAsia="標楷體" w:hAnsi="Times New Roman"/>
              </w:rPr>
              <w:t>5</w:t>
            </w:r>
          </w:p>
        </w:tc>
        <w:tc>
          <w:tcPr>
            <w:tcW w:w="8357" w:type="dxa"/>
          </w:tcPr>
          <w:p w14:paraId="2DAF3608" w14:textId="24E49E76" w:rsidR="00041541" w:rsidRPr="00BC3A53" w:rsidRDefault="00BC3A53" w:rsidP="00BC3A53">
            <w:pPr>
              <w:rPr>
                <w:rFonts w:ascii="Times New Roman" w:eastAsia="標楷體" w:hAnsi="Times New Roman"/>
              </w:rPr>
            </w:pPr>
            <w:r w:rsidRPr="00F1512D">
              <w:rPr>
                <w:rFonts w:ascii="Times New Roman" w:eastAsia="標楷體" w:hAnsi="Times New Roman"/>
              </w:rPr>
              <w:t>If a subsidy has been obtained from the National Science and Technology Council (NSTC) or other institutions, the University may cover any shortfall.</w:t>
            </w:r>
          </w:p>
        </w:tc>
      </w:tr>
      <w:tr w:rsidR="00041541" w14:paraId="15A48547" w14:textId="77777777" w:rsidTr="00BC3A53">
        <w:tc>
          <w:tcPr>
            <w:tcW w:w="1276" w:type="dxa"/>
          </w:tcPr>
          <w:p w14:paraId="0841B5A6" w14:textId="4F062DCC" w:rsidR="00041541" w:rsidRDefault="00BC3A53" w:rsidP="00041541">
            <w:pPr>
              <w:spacing w:line="360" w:lineRule="exact"/>
              <w:jc w:val="both"/>
              <w:rPr>
                <w:rFonts w:ascii="Times New Roman" w:eastAsia="標楷體" w:hAnsi="Times New Roman"/>
              </w:rPr>
            </w:pPr>
            <w:r w:rsidRPr="00041541">
              <w:rPr>
                <w:rFonts w:ascii="Times New Roman" w:eastAsia="標楷體" w:hAnsi="Times New Roman"/>
              </w:rPr>
              <w:t xml:space="preserve">Article </w:t>
            </w:r>
            <w:r>
              <w:rPr>
                <w:rFonts w:ascii="Times New Roman" w:eastAsia="標楷體" w:hAnsi="Times New Roman"/>
              </w:rPr>
              <w:t>6</w:t>
            </w:r>
          </w:p>
        </w:tc>
        <w:tc>
          <w:tcPr>
            <w:tcW w:w="8357" w:type="dxa"/>
          </w:tcPr>
          <w:p w14:paraId="5BE25A06" w14:textId="384C2161" w:rsidR="00041541" w:rsidRDefault="00BC3A53" w:rsidP="00BC3A53">
            <w:pPr>
              <w:rPr>
                <w:rFonts w:ascii="Times New Roman" w:eastAsia="標楷體" w:hAnsi="Times New Roman"/>
              </w:rPr>
            </w:pPr>
            <w:r w:rsidRPr="00F1512D">
              <w:rPr>
                <w:rFonts w:ascii="Times New Roman" w:eastAsia="標楷體" w:hAnsi="Times New Roman"/>
              </w:rPr>
              <w:t>These guidelines shall take effect upon approval by the Administrative Meeting and public announcement. The same applies to amendments.</w:t>
            </w:r>
          </w:p>
        </w:tc>
      </w:tr>
    </w:tbl>
    <w:p w14:paraId="4424686F" w14:textId="77777777" w:rsidR="00041541" w:rsidRDefault="00041541" w:rsidP="00041541">
      <w:pPr>
        <w:spacing w:line="480" w:lineRule="exact"/>
        <w:ind w:left="564" w:hangingChars="235" w:hanging="564"/>
        <w:jc w:val="both"/>
        <w:rPr>
          <w:rFonts w:ascii="Times New Roman" w:eastAsia="標楷體" w:hAnsi="Times New Roman"/>
        </w:rPr>
      </w:pPr>
    </w:p>
    <w:p w14:paraId="0D21D007" w14:textId="65364C0C" w:rsidR="00193555" w:rsidRDefault="00193555" w:rsidP="00CA6131">
      <w:pPr>
        <w:ind w:leftChars="236" w:left="566"/>
        <w:rPr>
          <w:rFonts w:ascii="Times New Roman" w:eastAsia="標楷體" w:hAnsi="Times New Roman"/>
        </w:rPr>
      </w:pPr>
    </w:p>
    <w:p w14:paraId="6F104857" w14:textId="5EB42598" w:rsidR="00193555" w:rsidRPr="00F1512D" w:rsidRDefault="00193555" w:rsidP="00193555">
      <w:pPr>
        <w:rPr>
          <w:rFonts w:ascii="Times New Roman" w:eastAsia="標楷體" w:hAnsi="Times New Roman"/>
        </w:rPr>
      </w:pPr>
      <w:r w:rsidRPr="00A43A86">
        <w:rPr>
          <w:rFonts w:ascii="Times New Roman" w:eastAsia="標楷體" w:hAnsi="Times New Roman" w:cs="Times New Roman"/>
          <w:b/>
        </w:rPr>
        <w:t>*The English version is for reference only. If there is any inconsistency or ambiguity between the English and Traditional Chinese versions, the Traditional Chinese version shall prevail.</w:t>
      </w:r>
    </w:p>
    <w:p w14:paraId="1628F54C" w14:textId="77777777" w:rsidR="00CA6131" w:rsidRPr="00CA6131" w:rsidRDefault="00CA6131" w:rsidP="00CA6131">
      <w:pPr>
        <w:spacing w:line="480" w:lineRule="exact"/>
        <w:ind w:firstLineChars="50" w:firstLine="120"/>
        <w:rPr>
          <w:rFonts w:ascii="Times New Roman" w:eastAsia="標楷體" w:hAnsi="Times New Roman"/>
        </w:rPr>
      </w:pPr>
    </w:p>
    <w:sectPr w:rsidR="00CA6131" w:rsidRPr="00CA6131" w:rsidSect="00302D70">
      <w:footerReference w:type="even" r:id="rId7"/>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E754" w14:textId="77777777" w:rsidR="0034161A" w:rsidRDefault="0034161A" w:rsidP="00ED45BD">
      <w:r>
        <w:separator/>
      </w:r>
    </w:p>
  </w:endnote>
  <w:endnote w:type="continuationSeparator" w:id="0">
    <w:p w14:paraId="073A2241" w14:textId="77777777" w:rsidR="0034161A" w:rsidRDefault="0034161A" w:rsidP="00ED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a...">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BD1F" w14:textId="77777777" w:rsidR="005A107F" w:rsidRDefault="005A107F">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6623A9D" w14:textId="77777777" w:rsidR="005A107F" w:rsidRDefault="005A10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6649" w14:textId="77777777" w:rsidR="005A107F" w:rsidRDefault="005A107F">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06916">
      <w:rPr>
        <w:rStyle w:val="ac"/>
        <w:noProof/>
      </w:rPr>
      <w:t>1</w:t>
    </w:r>
    <w:r>
      <w:rPr>
        <w:rStyle w:val="ac"/>
      </w:rPr>
      <w:fldChar w:fldCharType="end"/>
    </w:r>
  </w:p>
  <w:p w14:paraId="197BB632" w14:textId="77777777" w:rsidR="005A107F" w:rsidRDefault="005A10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C5C5" w14:textId="77777777" w:rsidR="0034161A" w:rsidRDefault="0034161A" w:rsidP="00ED45BD">
      <w:r>
        <w:separator/>
      </w:r>
    </w:p>
  </w:footnote>
  <w:footnote w:type="continuationSeparator" w:id="0">
    <w:p w14:paraId="19C9EE6B" w14:textId="77777777" w:rsidR="0034161A" w:rsidRDefault="0034161A" w:rsidP="00ED4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3C3"/>
    <w:multiLevelType w:val="hybridMultilevel"/>
    <w:tmpl w:val="EDC2EF8E"/>
    <w:lvl w:ilvl="0" w:tplc="98F6830A">
      <w:start w:val="1"/>
      <w:numFmt w:val="taiwaneseCountingThousand"/>
      <w:lvlText w:val="第%1條"/>
      <w:lvlJc w:val="left"/>
      <w:pPr>
        <w:ind w:left="1767" w:hanging="1200"/>
      </w:pPr>
      <w:rPr>
        <w:rFonts w:hint="default"/>
        <w:b w:val="0"/>
        <w:color w:val="auto"/>
        <w:sz w:val="24"/>
        <w:szCs w:val="24"/>
        <w:lang w:val="en-US"/>
      </w:rPr>
    </w:lvl>
    <w:lvl w:ilvl="1" w:tplc="04090019" w:tentative="1">
      <w:start w:val="1"/>
      <w:numFmt w:val="ideographTraditional"/>
      <w:lvlText w:val="%2、"/>
      <w:lvlJc w:val="left"/>
      <w:pPr>
        <w:ind w:left="6630" w:hanging="480"/>
      </w:pPr>
    </w:lvl>
    <w:lvl w:ilvl="2" w:tplc="0409001B" w:tentative="1">
      <w:start w:val="1"/>
      <w:numFmt w:val="lowerRoman"/>
      <w:lvlText w:val="%3."/>
      <w:lvlJc w:val="right"/>
      <w:pPr>
        <w:ind w:left="7110" w:hanging="480"/>
      </w:pPr>
    </w:lvl>
    <w:lvl w:ilvl="3" w:tplc="0409000F" w:tentative="1">
      <w:start w:val="1"/>
      <w:numFmt w:val="decimal"/>
      <w:lvlText w:val="%4."/>
      <w:lvlJc w:val="left"/>
      <w:pPr>
        <w:ind w:left="7590" w:hanging="480"/>
      </w:pPr>
    </w:lvl>
    <w:lvl w:ilvl="4" w:tplc="04090019" w:tentative="1">
      <w:start w:val="1"/>
      <w:numFmt w:val="ideographTraditional"/>
      <w:lvlText w:val="%5、"/>
      <w:lvlJc w:val="left"/>
      <w:pPr>
        <w:ind w:left="8070" w:hanging="480"/>
      </w:pPr>
    </w:lvl>
    <w:lvl w:ilvl="5" w:tplc="0409001B" w:tentative="1">
      <w:start w:val="1"/>
      <w:numFmt w:val="lowerRoman"/>
      <w:lvlText w:val="%6."/>
      <w:lvlJc w:val="right"/>
      <w:pPr>
        <w:ind w:left="8550" w:hanging="480"/>
      </w:pPr>
    </w:lvl>
    <w:lvl w:ilvl="6" w:tplc="0409000F" w:tentative="1">
      <w:start w:val="1"/>
      <w:numFmt w:val="decimal"/>
      <w:lvlText w:val="%7."/>
      <w:lvlJc w:val="left"/>
      <w:pPr>
        <w:ind w:left="9030" w:hanging="480"/>
      </w:pPr>
    </w:lvl>
    <w:lvl w:ilvl="7" w:tplc="04090019" w:tentative="1">
      <w:start w:val="1"/>
      <w:numFmt w:val="ideographTraditional"/>
      <w:lvlText w:val="%8、"/>
      <w:lvlJc w:val="left"/>
      <w:pPr>
        <w:ind w:left="9510" w:hanging="480"/>
      </w:pPr>
    </w:lvl>
    <w:lvl w:ilvl="8" w:tplc="0409001B" w:tentative="1">
      <w:start w:val="1"/>
      <w:numFmt w:val="lowerRoman"/>
      <w:lvlText w:val="%9."/>
      <w:lvlJc w:val="right"/>
      <w:pPr>
        <w:ind w:left="9990" w:hanging="480"/>
      </w:pPr>
    </w:lvl>
  </w:abstractNum>
  <w:abstractNum w:abstractNumId="1" w15:restartNumberingAfterBreak="0">
    <w:nsid w:val="0FB41D51"/>
    <w:multiLevelType w:val="hybridMultilevel"/>
    <w:tmpl w:val="A61CEB68"/>
    <w:lvl w:ilvl="0" w:tplc="9D42684E">
      <w:start w:val="1"/>
      <w:numFmt w:val="taiwaneseCountingThousand"/>
      <w:lvlText w:val="(%1)"/>
      <w:lvlJc w:val="left"/>
      <w:pPr>
        <w:tabs>
          <w:tab w:val="num" w:pos="600"/>
        </w:tabs>
        <w:ind w:left="600" w:hanging="480"/>
      </w:pPr>
      <w:rPr>
        <w:rFonts w:hint="default"/>
      </w:rPr>
    </w:lvl>
    <w:lvl w:ilvl="1" w:tplc="04090019">
      <w:start w:val="1"/>
      <w:numFmt w:val="ideographTraditional"/>
      <w:lvlText w:val="%2、"/>
      <w:lvlJc w:val="left"/>
      <w:pPr>
        <w:tabs>
          <w:tab w:val="num" w:pos="1080"/>
        </w:tabs>
        <w:ind w:left="1080" w:hanging="480"/>
      </w:pPr>
    </w:lvl>
    <w:lvl w:ilvl="2" w:tplc="B6707182">
      <w:start w:val="1"/>
      <w:numFmt w:val="taiwaneseCountingThousand"/>
      <w:lvlText w:val="%3、"/>
      <w:lvlJc w:val="left"/>
      <w:pPr>
        <w:tabs>
          <w:tab w:val="num" w:pos="1560"/>
        </w:tabs>
        <w:ind w:left="1560" w:hanging="480"/>
      </w:pPr>
      <w:rPr>
        <w:rFonts w:hint="eastAsia"/>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15:restartNumberingAfterBreak="0">
    <w:nsid w:val="11534C00"/>
    <w:multiLevelType w:val="hybridMultilevel"/>
    <w:tmpl w:val="E7982DCA"/>
    <w:lvl w:ilvl="0" w:tplc="DBA267BA">
      <w:start w:val="1"/>
      <w:numFmt w:val="lowerLetter"/>
      <w:lvlText w:val="%1)"/>
      <w:lvlJc w:val="left"/>
      <w:pPr>
        <w:ind w:left="679" w:hanging="36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3" w15:restartNumberingAfterBreak="0">
    <w:nsid w:val="15645D02"/>
    <w:multiLevelType w:val="hybridMultilevel"/>
    <w:tmpl w:val="25A6D12E"/>
    <w:lvl w:ilvl="0" w:tplc="03E00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C3526"/>
    <w:multiLevelType w:val="hybridMultilevel"/>
    <w:tmpl w:val="08783CA4"/>
    <w:lvl w:ilvl="0" w:tplc="6A70E7C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007085E"/>
    <w:multiLevelType w:val="hybridMultilevel"/>
    <w:tmpl w:val="248ECE28"/>
    <w:lvl w:ilvl="0" w:tplc="34E8F6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16660F"/>
    <w:multiLevelType w:val="hybridMultilevel"/>
    <w:tmpl w:val="3CBC45E2"/>
    <w:lvl w:ilvl="0" w:tplc="96C69980">
      <w:start w:val="1"/>
      <w:numFmt w:val="taiwaneseCountingThousand"/>
      <w:lvlText w:val="%1、"/>
      <w:lvlJc w:val="left"/>
      <w:pPr>
        <w:tabs>
          <w:tab w:val="num" w:pos="1678"/>
        </w:tabs>
        <w:ind w:left="1678" w:hanging="72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7" w15:restartNumberingAfterBreak="0">
    <w:nsid w:val="642D6D0A"/>
    <w:multiLevelType w:val="hybridMultilevel"/>
    <w:tmpl w:val="CA6AD422"/>
    <w:lvl w:ilvl="0" w:tplc="77E2AC12">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8" w15:restartNumberingAfterBreak="0">
    <w:nsid w:val="657911ED"/>
    <w:multiLevelType w:val="hybridMultilevel"/>
    <w:tmpl w:val="4C9C4B98"/>
    <w:lvl w:ilvl="0" w:tplc="05C6E3AE">
      <w:start w:val="1"/>
      <w:numFmt w:val="taiwaneseCountingThousand"/>
      <w:lvlText w:val="%1、"/>
      <w:lvlJc w:val="left"/>
      <w:pPr>
        <w:ind w:left="480" w:hanging="480"/>
      </w:pPr>
      <w:rPr>
        <w:rFonts w:ascii="標楷體" w:eastAsia="標楷體" w:hAnsi="標楷體"/>
      </w:rPr>
    </w:lvl>
    <w:lvl w:ilvl="1" w:tplc="CA38711A">
      <w:start w:val="1"/>
      <w:numFmt w:val="taiwaneseCountingThousand"/>
      <w:lvlText w:val="(%2)"/>
      <w:lvlJc w:val="left"/>
      <w:pPr>
        <w:ind w:left="888" w:hanging="408"/>
      </w:pPr>
      <w:rPr>
        <w:rFonts w:hint="default"/>
      </w:rPr>
    </w:lvl>
    <w:lvl w:ilvl="2" w:tplc="0409001B">
      <w:start w:val="1"/>
      <w:numFmt w:val="lowerRoman"/>
      <w:lvlText w:val="%3."/>
      <w:lvlJc w:val="right"/>
      <w:pPr>
        <w:ind w:left="1440" w:hanging="480"/>
      </w:pPr>
    </w:lvl>
    <w:lvl w:ilvl="3" w:tplc="924E5F04">
      <w:start w:val="1"/>
      <w:numFmt w:val="decimal"/>
      <w:lvlText w:val="%4."/>
      <w:lvlJc w:val="left"/>
      <w:pPr>
        <w:ind w:left="1800" w:hanging="36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D57790"/>
    <w:multiLevelType w:val="hybridMultilevel"/>
    <w:tmpl w:val="DA0A67C4"/>
    <w:lvl w:ilvl="0" w:tplc="42EE2392">
      <w:start w:val="1"/>
      <w:numFmt w:val="taiwaneseCountingThousand"/>
      <w:lvlText w:val="(%1)"/>
      <w:lvlJc w:val="left"/>
      <w:pPr>
        <w:ind w:left="1008" w:hanging="408"/>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6CEE2507"/>
    <w:multiLevelType w:val="multilevel"/>
    <w:tmpl w:val="6EECC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5"/>
  </w:num>
  <w:num w:numId="5">
    <w:abstractNumId w:val="7"/>
  </w:num>
  <w:num w:numId="6">
    <w:abstractNumId w:val="8"/>
  </w:num>
  <w:num w:numId="7">
    <w:abstractNumId w:val="10"/>
  </w:num>
  <w:num w:numId="8">
    <w:abstractNumId w:val="9"/>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51"/>
    <w:rsid w:val="000006A7"/>
    <w:rsid w:val="00015005"/>
    <w:rsid w:val="000320E5"/>
    <w:rsid w:val="00036D51"/>
    <w:rsid w:val="00041541"/>
    <w:rsid w:val="00050CFC"/>
    <w:rsid w:val="0005403C"/>
    <w:rsid w:val="0008233D"/>
    <w:rsid w:val="000B1BF3"/>
    <w:rsid w:val="000B4A61"/>
    <w:rsid w:val="000B70F3"/>
    <w:rsid w:val="000C782C"/>
    <w:rsid w:val="000E7B32"/>
    <w:rsid w:val="000F38F5"/>
    <w:rsid w:val="0011574E"/>
    <w:rsid w:val="00120822"/>
    <w:rsid w:val="00161A87"/>
    <w:rsid w:val="00172FA2"/>
    <w:rsid w:val="00177C3B"/>
    <w:rsid w:val="00186554"/>
    <w:rsid w:val="00193555"/>
    <w:rsid w:val="001A325A"/>
    <w:rsid w:val="001A4AEE"/>
    <w:rsid w:val="001A74A5"/>
    <w:rsid w:val="001B3A6F"/>
    <w:rsid w:val="001F3F26"/>
    <w:rsid w:val="001F73E1"/>
    <w:rsid w:val="00204F90"/>
    <w:rsid w:val="00206916"/>
    <w:rsid w:val="00225D1D"/>
    <w:rsid w:val="002338DE"/>
    <w:rsid w:val="00240C18"/>
    <w:rsid w:val="00261BC7"/>
    <w:rsid w:val="00261CAA"/>
    <w:rsid w:val="00284271"/>
    <w:rsid w:val="00287DC7"/>
    <w:rsid w:val="002A1EB6"/>
    <w:rsid w:val="002A3F00"/>
    <w:rsid w:val="002A7330"/>
    <w:rsid w:val="002B689A"/>
    <w:rsid w:val="002C3EC8"/>
    <w:rsid w:val="002C6B4E"/>
    <w:rsid w:val="002E071A"/>
    <w:rsid w:val="002E7018"/>
    <w:rsid w:val="002F238A"/>
    <w:rsid w:val="00300E51"/>
    <w:rsid w:val="00302D70"/>
    <w:rsid w:val="0030778B"/>
    <w:rsid w:val="0034161A"/>
    <w:rsid w:val="00342D88"/>
    <w:rsid w:val="0037131F"/>
    <w:rsid w:val="00381BE8"/>
    <w:rsid w:val="003844AB"/>
    <w:rsid w:val="003A520F"/>
    <w:rsid w:val="003A633D"/>
    <w:rsid w:val="003B7EB4"/>
    <w:rsid w:val="003C4060"/>
    <w:rsid w:val="003F184F"/>
    <w:rsid w:val="003F19F7"/>
    <w:rsid w:val="003F2739"/>
    <w:rsid w:val="003F4C10"/>
    <w:rsid w:val="0040498D"/>
    <w:rsid w:val="004135E2"/>
    <w:rsid w:val="00423FF3"/>
    <w:rsid w:val="004262DC"/>
    <w:rsid w:val="00430234"/>
    <w:rsid w:val="0044080D"/>
    <w:rsid w:val="004762C7"/>
    <w:rsid w:val="004867A9"/>
    <w:rsid w:val="0048704C"/>
    <w:rsid w:val="00496C88"/>
    <w:rsid w:val="004C2463"/>
    <w:rsid w:val="004C3347"/>
    <w:rsid w:val="004D301F"/>
    <w:rsid w:val="00523A79"/>
    <w:rsid w:val="00532317"/>
    <w:rsid w:val="00532CF1"/>
    <w:rsid w:val="00560476"/>
    <w:rsid w:val="00561B40"/>
    <w:rsid w:val="0057264F"/>
    <w:rsid w:val="0058331A"/>
    <w:rsid w:val="00593A6B"/>
    <w:rsid w:val="005A107F"/>
    <w:rsid w:val="005B510C"/>
    <w:rsid w:val="005C7A6C"/>
    <w:rsid w:val="005E29C6"/>
    <w:rsid w:val="005F4B08"/>
    <w:rsid w:val="005F5614"/>
    <w:rsid w:val="00603548"/>
    <w:rsid w:val="006246A6"/>
    <w:rsid w:val="00626EF2"/>
    <w:rsid w:val="00633B32"/>
    <w:rsid w:val="00663A71"/>
    <w:rsid w:val="00664CB8"/>
    <w:rsid w:val="00673DEC"/>
    <w:rsid w:val="00681DCA"/>
    <w:rsid w:val="00696FAE"/>
    <w:rsid w:val="006C114F"/>
    <w:rsid w:val="006C661E"/>
    <w:rsid w:val="006D4F67"/>
    <w:rsid w:val="006E045D"/>
    <w:rsid w:val="006E25FA"/>
    <w:rsid w:val="006E4F87"/>
    <w:rsid w:val="007304DB"/>
    <w:rsid w:val="007465E3"/>
    <w:rsid w:val="00752115"/>
    <w:rsid w:val="0076395E"/>
    <w:rsid w:val="00785FB3"/>
    <w:rsid w:val="007D2C22"/>
    <w:rsid w:val="007D4064"/>
    <w:rsid w:val="007F06A4"/>
    <w:rsid w:val="007F3F09"/>
    <w:rsid w:val="00800988"/>
    <w:rsid w:val="0081308D"/>
    <w:rsid w:val="00823D89"/>
    <w:rsid w:val="00825EA5"/>
    <w:rsid w:val="00837356"/>
    <w:rsid w:val="008478A1"/>
    <w:rsid w:val="0085293B"/>
    <w:rsid w:val="00855D94"/>
    <w:rsid w:val="00862124"/>
    <w:rsid w:val="0086408C"/>
    <w:rsid w:val="008656C0"/>
    <w:rsid w:val="008660C2"/>
    <w:rsid w:val="00872DB8"/>
    <w:rsid w:val="00873651"/>
    <w:rsid w:val="00874A07"/>
    <w:rsid w:val="00884F08"/>
    <w:rsid w:val="00894C4C"/>
    <w:rsid w:val="008A54CE"/>
    <w:rsid w:val="008C4BD5"/>
    <w:rsid w:val="008C6C5B"/>
    <w:rsid w:val="008D3FC9"/>
    <w:rsid w:val="008F398B"/>
    <w:rsid w:val="009122A6"/>
    <w:rsid w:val="00915973"/>
    <w:rsid w:val="0093050C"/>
    <w:rsid w:val="00933F64"/>
    <w:rsid w:val="009703DC"/>
    <w:rsid w:val="00974BF9"/>
    <w:rsid w:val="009765F7"/>
    <w:rsid w:val="009B006E"/>
    <w:rsid w:val="009C06F9"/>
    <w:rsid w:val="009F19C0"/>
    <w:rsid w:val="009F4DD2"/>
    <w:rsid w:val="00A01AAE"/>
    <w:rsid w:val="00A0761C"/>
    <w:rsid w:val="00A213E1"/>
    <w:rsid w:val="00A26EC2"/>
    <w:rsid w:val="00A3674B"/>
    <w:rsid w:val="00A427BD"/>
    <w:rsid w:val="00A43148"/>
    <w:rsid w:val="00A70759"/>
    <w:rsid w:val="00A80968"/>
    <w:rsid w:val="00A93B04"/>
    <w:rsid w:val="00A93CD0"/>
    <w:rsid w:val="00AB5FBF"/>
    <w:rsid w:val="00AE5D60"/>
    <w:rsid w:val="00AF0829"/>
    <w:rsid w:val="00B05990"/>
    <w:rsid w:val="00B128A4"/>
    <w:rsid w:val="00B24577"/>
    <w:rsid w:val="00B372D5"/>
    <w:rsid w:val="00B4063D"/>
    <w:rsid w:val="00B457D1"/>
    <w:rsid w:val="00B564DF"/>
    <w:rsid w:val="00B6554F"/>
    <w:rsid w:val="00B7692D"/>
    <w:rsid w:val="00BB2B07"/>
    <w:rsid w:val="00BC3A53"/>
    <w:rsid w:val="00BF30D7"/>
    <w:rsid w:val="00C05052"/>
    <w:rsid w:val="00C20224"/>
    <w:rsid w:val="00C52DE0"/>
    <w:rsid w:val="00C645E2"/>
    <w:rsid w:val="00C733A9"/>
    <w:rsid w:val="00C81BF4"/>
    <w:rsid w:val="00CA4C92"/>
    <w:rsid w:val="00CA6131"/>
    <w:rsid w:val="00CE1DEB"/>
    <w:rsid w:val="00D077CD"/>
    <w:rsid w:val="00D45610"/>
    <w:rsid w:val="00D46013"/>
    <w:rsid w:val="00D53470"/>
    <w:rsid w:val="00D7352B"/>
    <w:rsid w:val="00D77BE4"/>
    <w:rsid w:val="00D814F9"/>
    <w:rsid w:val="00D951FC"/>
    <w:rsid w:val="00DA69C1"/>
    <w:rsid w:val="00DB4CDE"/>
    <w:rsid w:val="00DC06B7"/>
    <w:rsid w:val="00E07146"/>
    <w:rsid w:val="00E26561"/>
    <w:rsid w:val="00E52EF6"/>
    <w:rsid w:val="00E552E6"/>
    <w:rsid w:val="00E5565F"/>
    <w:rsid w:val="00EB4635"/>
    <w:rsid w:val="00EB4DC0"/>
    <w:rsid w:val="00EC20AC"/>
    <w:rsid w:val="00ED45BD"/>
    <w:rsid w:val="00EE7B06"/>
    <w:rsid w:val="00EF7522"/>
    <w:rsid w:val="00F1512D"/>
    <w:rsid w:val="00F16588"/>
    <w:rsid w:val="00F261AE"/>
    <w:rsid w:val="00F321F7"/>
    <w:rsid w:val="00F5210A"/>
    <w:rsid w:val="00FB4BAA"/>
    <w:rsid w:val="00FD3811"/>
    <w:rsid w:val="00FD5383"/>
    <w:rsid w:val="00FF10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0DC9C"/>
  <w15:docId w15:val="{F959C46E-821E-4A29-A70A-B7F23BD7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E51"/>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4F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D45BD"/>
    <w:pPr>
      <w:tabs>
        <w:tab w:val="center" w:pos="4153"/>
        <w:tab w:val="right" w:pos="8306"/>
      </w:tabs>
      <w:snapToGrid w:val="0"/>
    </w:pPr>
    <w:rPr>
      <w:sz w:val="20"/>
      <w:szCs w:val="20"/>
    </w:rPr>
  </w:style>
  <w:style w:type="character" w:customStyle="1" w:styleId="a5">
    <w:name w:val="頁首 字元"/>
    <w:link w:val="a4"/>
    <w:rsid w:val="00ED45BD"/>
    <w:rPr>
      <w:kern w:val="2"/>
    </w:rPr>
  </w:style>
  <w:style w:type="paragraph" w:styleId="a6">
    <w:name w:val="footer"/>
    <w:basedOn w:val="a"/>
    <w:link w:val="a7"/>
    <w:rsid w:val="00ED45BD"/>
    <w:pPr>
      <w:tabs>
        <w:tab w:val="center" w:pos="4153"/>
        <w:tab w:val="right" w:pos="8306"/>
      </w:tabs>
      <w:snapToGrid w:val="0"/>
    </w:pPr>
    <w:rPr>
      <w:sz w:val="20"/>
      <w:szCs w:val="20"/>
    </w:rPr>
  </w:style>
  <w:style w:type="character" w:customStyle="1" w:styleId="a7">
    <w:name w:val="頁尾 字元"/>
    <w:link w:val="a6"/>
    <w:rsid w:val="00ED45BD"/>
    <w:rPr>
      <w:kern w:val="2"/>
    </w:rPr>
  </w:style>
  <w:style w:type="paragraph" w:styleId="HTML">
    <w:name w:val="HTML Preformatted"/>
    <w:basedOn w:val="a"/>
    <w:link w:val="HTML0"/>
    <w:rsid w:val="00050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HTML0">
    <w:name w:val="HTML 預設格式 字元"/>
    <w:link w:val="HTML"/>
    <w:rsid w:val="00050CFC"/>
    <w:rPr>
      <w:rFonts w:ascii="Arial Unicode MS" w:eastAsia="Courier New" w:hAnsi="Arial Unicode MS" w:cs="Courier New"/>
    </w:rPr>
  </w:style>
  <w:style w:type="paragraph" w:styleId="a8">
    <w:name w:val="Body Text Indent"/>
    <w:basedOn w:val="a"/>
    <w:link w:val="a9"/>
    <w:rsid w:val="00050CFC"/>
    <w:p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
      <w:jc w:val="both"/>
    </w:pPr>
    <w:rPr>
      <w:rFonts w:ascii="標楷體" w:eastAsia="標楷體" w:hAnsi="標楷體"/>
    </w:rPr>
  </w:style>
  <w:style w:type="character" w:customStyle="1" w:styleId="a9">
    <w:name w:val="本文縮排 字元"/>
    <w:link w:val="a8"/>
    <w:rsid w:val="00050CFC"/>
    <w:rPr>
      <w:rFonts w:ascii="標楷體" w:eastAsia="標楷體" w:hAnsi="標楷體"/>
      <w:sz w:val="24"/>
      <w:szCs w:val="24"/>
    </w:rPr>
  </w:style>
  <w:style w:type="paragraph" w:styleId="Web">
    <w:name w:val="Normal (Web)"/>
    <w:basedOn w:val="a"/>
    <w:uiPriority w:val="99"/>
    <w:rsid w:val="00050CFC"/>
    <w:pPr>
      <w:spacing w:before="100" w:beforeAutospacing="1" w:after="100" w:afterAutospacing="1"/>
    </w:pPr>
    <w:rPr>
      <w:rFonts w:ascii="Arial Unicode MS" w:eastAsia="Arial Unicode MS" w:hAnsi="Arial Unicode MS" w:cs="Arial Unicode MS"/>
    </w:rPr>
  </w:style>
  <w:style w:type="paragraph" w:styleId="aa">
    <w:name w:val="Plain Text"/>
    <w:basedOn w:val="a"/>
    <w:link w:val="ab"/>
    <w:rsid w:val="00050CFC"/>
    <w:pPr>
      <w:spacing w:before="100" w:beforeAutospacing="1" w:after="100" w:afterAutospacing="1"/>
    </w:pPr>
    <w:rPr>
      <w:rFonts w:ascii="Arial Unicode MS" w:eastAsia="Arial Unicode MS" w:hAnsi="Arial Unicode MS" w:cs="Arial Unicode MS"/>
    </w:rPr>
  </w:style>
  <w:style w:type="character" w:customStyle="1" w:styleId="ab">
    <w:name w:val="純文字 字元"/>
    <w:link w:val="aa"/>
    <w:rsid w:val="00050CFC"/>
    <w:rPr>
      <w:rFonts w:ascii="Arial Unicode MS" w:eastAsia="Arial Unicode MS" w:hAnsi="Arial Unicode MS" w:cs="Arial Unicode MS"/>
      <w:sz w:val="24"/>
      <w:szCs w:val="24"/>
    </w:rPr>
  </w:style>
  <w:style w:type="character" w:styleId="ac">
    <w:name w:val="page number"/>
    <w:basedOn w:val="a0"/>
    <w:rsid w:val="00050CFC"/>
  </w:style>
  <w:style w:type="character" w:styleId="ad">
    <w:name w:val="Strong"/>
    <w:uiPriority w:val="22"/>
    <w:qFormat/>
    <w:rsid w:val="00050CFC"/>
    <w:rPr>
      <w:b/>
      <w:bCs/>
    </w:rPr>
  </w:style>
  <w:style w:type="paragraph" w:styleId="ae">
    <w:name w:val="List Paragraph"/>
    <w:basedOn w:val="a"/>
    <w:uiPriority w:val="34"/>
    <w:qFormat/>
    <w:rsid w:val="00A70759"/>
    <w:pPr>
      <w:ind w:leftChars="200" w:left="480"/>
    </w:pPr>
  </w:style>
  <w:style w:type="paragraph" w:customStyle="1" w:styleId="Default">
    <w:name w:val="Default"/>
    <w:rsid w:val="006C114F"/>
    <w:pPr>
      <w:widowControl w:val="0"/>
      <w:autoSpaceDE w:val="0"/>
      <w:autoSpaceDN w:val="0"/>
      <w:adjustRightInd w:val="0"/>
    </w:pPr>
    <w:rPr>
      <w:rFonts w:ascii="標楷體a..." w:eastAsia="標楷體a..." w:cs="標楷體a..."/>
      <w:color w:val="000000"/>
      <w:sz w:val="24"/>
      <w:szCs w:val="24"/>
    </w:rPr>
  </w:style>
  <w:style w:type="paragraph" w:styleId="af">
    <w:name w:val="Balloon Text"/>
    <w:basedOn w:val="a"/>
    <w:link w:val="af0"/>
    <w:rsid w:val="00915973"/>
    <w:rPr>
      <w:rFonts w:ascii="Calibri Light" w:hAnsi="Calibri Light"/>
      <w:sz w:val="18"/>
      <w:szCs w:val="18"/>
    </w:rPr>
  </w:style>
  <w:style w:type="character" w:customStyle="1" w:styleId="af0">
    <w:name w:val="註解方塊文字 字元"/>
    <w:link w:val="af"/>
    <w:rsid w:val="0091597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9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3493</Characters>
  <Application>Microsoft Office Word</Application>
  <DocSecurity>0</DocSecurity>
  <Lines>72</Lines>
  <Paragraphs>41</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acer</dc:creator>
  <cp:lastModifiedBy>user</cp:lastModifiedBy>
  <cp:revision>2</cp:revision>
  <cp:lastPrinted>2015-03-30T07:00:00Z</cp:lastPrinted>
  <dcterms:created xsi:type="dcterms:W3CDTF">2025-06-04T07:26:00Z</dcterms:created>
  <dcterms:modified xsi:type="dcterms:W3CDTF">2025-06-04T07:26:00Z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d98ce52e99f5324078a0722878f36a78c1f9909170e75f5559d9f6df9450ffcc</vt:lpwstr>
  </property>
</Properties>
</file>