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05" w:rsidRPr="001B0A33" w:rsidRDefault="00D33605" w:rsidP="00D33605">
      <w:pPr>
        <w:spacing w:line="440" w:lineRule="exact"/>
        <w:rPr>
          <w:rFonts w:eastAsia="標楷體" w:cs="Calibri"/>
          <w:b/>
          <w:color w:val="000000"/>
          <w:sz w:val="32"/>
          <w:szCs w:val="32"/>
        </w:rPr>
      </w:pPr>
      <w:r w:rsidRPr="001B0A33">
        <w:rPr>
          <w:rFonts w:eastAsia="標楷體" w:hint="eastAsia"/>
          <w:b/>
          <w:color w:val="000000"/>
          <w:sz w:val="32"/>
          <w:szCs w:val="36"/>
        </w:rPr>
        <w:t>高雄醫學大學研究生學術研究倫理教育實施要點</w:t>
      </w:r>
    </w:p>
    <w:p w:rsidR="00D33605" w:rsidRPr="001B0A33" w:rsidRDefault="00D33605" w:rsidP="00D33605">
      <w:pPr>
        <w:tabs>
          <w:tab w:val="left" w:pos="6521"/>
        </w:tabs>
        <w:spacing w:line="240" w:lineRule="exact"/>
        <w:ind w:right="-2"/>
        <w:jc w:val="right"/>
        <w:rPr>
          <w:rFonts w:eastAsia="標楷體" w:hint="eastAsia"/>
          <w:noProof/>
          <w:color w:val="000000"/>
          <w:sz w:val="20"/>
        </w:rPr>
      </w:pPr>
    </w:p>
    <w:p w:rsidR="00D33605" w:rsidRDefault="00D33605" w:rsidP="00D33605">
      <w:pPr>
        <w:tabs>
          <w:tab w:val="left" w:pos="6521"/>
        </w:tabs>
        <w:spacing w:line="240" w:lineRule="exact"/>
        <w:ind w:right="-2"/>
        <w:jc w:val="right"/>
        <w:rPr>
          <w:rFonts w:eastAsia="標楷體" w:hAnsi="標楷體" w:hint="eastAsia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</w:t>
      </w:r>
      <w:r w:rsidRPr="001B0A33">
        <w:rPr>
          <w:rFonts w:eastAsia="標楷體" w:hint="eastAsia"/>
          <w:noProof/>
          <w:color w:val="000000"/>
          <w:sz w:val="20"/>
        </w:rPr>
        <w:t>6</w:t>
      </w:r>
      <w:r w:rsidRPr="001B0A33">
        <w:rPr>
          <w:rFonts w:eastAsia="標楷體"/>
          <w:noProof/>
          <w:color w:val="000000"/>
          <w:sz w:val="20"/>
        </w:rPr>
        <w:t>.0</w:t>
      </w:r>
      <w:r w:rsidRPr="001B0A33">
        <w:rPr>
          <w:rFonts w:eastAsia="標楷體" w:hint="eastAsia"/>
          <w:noProof/>
          <w:color w:val="000000"/>
          <w:sz w:val="20"/>
        </w:rPr>
        <w:t>1</w:t>
      </w:r>
      <w:r w:rsidRPr="001B0A33">
        <w:rPr>
          <w:rFonts w:eastAsia="標楷體"/>
          <w:noProof/>
          <w:color w:val="000000"/>
          <w:sz w:val="20"/>
        </w:rPr>
        <w:t>.</w:t>
      </w:r>
      <w:r w:rsidRPr="001B0A33">
        <w:rPr>
          <w:rFonts w:eastAsia="標楷體" w:hint="eastAsia"/>
          <w:noProof/>
          <w:color w:val="000000"/>
          <w:sz w:val="20"/>
        </w:rPr>
        <w:t>06</w:t>
      </w:r>
      <w:r w:rsidRPr="001B0A33">
        <w:rPr>
          <w:rFonts w:eastAsia="標楷體" w:hAnsi="標楷體"/>
          <w:noProof/>
          <w:color w:val="000000"/>
          <w:sz w:val="20"/>
        </w:rPr>
        <w:t>一</w:t>
      </w:r>
      <w:r w:rsidRPr="001B0A33">
        <w:rPr>
          <w:rFonts w:eastAsia="標楷體"/>
          <w:noProof/>
          <w:color w:val="000000"/>
          <w:sz w:val="20"/>
        </w:rPr>
        <w:t>O</w:t>
      </w:r>
      <w:r w:rsidRPr="001B0A33">
        <w:rPr>
          <w:rFonts w:eastAsia="標楷體" w:hAnsi="標楷體" w:hint="eastAsia"/>
          <w:noProof/>
          <w:color w:val="000000"/>
          <w:sz w:val="20"/>
        </w:rPr>
        <w:t>五</w:t>
      </w:r>
      <w:r w:rsidRPr="001B0A33">
        <w:rPr>
          <w:rFonts w:eastAsia="標楷體" w:hAnsi="標楷體"/>
          <w:noProof/>
          <w:color w:val="000000"/>
          <w:sz w:val="20"/>
        </w:rPr>
        <w:t>學年度第</w:t>
      </w:r>
      <w:r w:rsidRPr="001B0A33">
        <w:rPr>
          <w:rFonts w:eastAsia="標楷體" w:hAnsi="標楷體" w:hint="eastAsia"/>
          <w:noProof/>
          <w:color w:val="000000"/>
          <w:sz w:val="20"/>
        </w:rPr>
        <w:t>三</w:t>
      </w:r>
      <w:r w:rsidRPr="001B0A33">
        <w:rPr>
          <w:rFonts w:eastAsia="標楷體" w:hAnsi="標楷體"/>
          <w:noProof/>
          <w:color w:val="000000"/>
          <w:sz w:val="20"/>
        </w:rPr>
        <w:t>次教務會議通過</w:t>
      </w:r>
    </w:p>
    <w:p w:rsidR="00D33605" w:rsidRPr="001B0A33" w:rsidRDefault="00D33605" w:rsidP="00D33605">
      <w:pPr>
        <w:tabs>
          <w:tab w:val="left" w:pos="6521"/>
        </w:tabs>
        <w:spacing w:line="240" w:lineRule="exact"/>
        <w:ind w:right="-2"/>
        <w:jc w:val="right"/>
        <w:rPr>
          <w:rFonts w:eastAsia="標楷體" w:hint="eastAsia"/>
          <w:color w:val="000000"/>
          <w:sz w:val="20"/>
        </w:rPr>
      </w:pPr>
      <w:r w:rsidRPr="0064535C">
        <w:rPr>
          <w:rFonts w:eastAsia="標楷體"/>
          <w:color w:val="000000"/>
          <w:kern w:val="0"/>
          <w:sz w:val="20"/>
          <w:szCs w:val="20"/>
        </w:rPr>
        <w:t>10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7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proofErr w:type="gramStart"/>
      <w:r w:rsidRPr="0064535C">
        <w:rPr>
          <w:rFonts w:eastAsia="標楷體"/>
          <w:color w:val="000000"/>
          <w:kern w:val="0"/>
          <w:sz w:val="20"/>
          <w:szCs w:val="20"/>
        </w:rPr>
        <w:t>一</w:t>
      </w:r>
      <w:proofErr w:type="gramEnd"/>
      <w:r w:rsidRPr="0064535C">
        <w:rPr>
          <w:rFonts w:eastAsia="標楷體"/>
          <w:color w:val="000000"/>
          <w:kern w:val="0"/>
          <w:sz w:val="20"/>
          <w:szCs w:val="20"/>
        </w:rPr>
        <w:t>O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七</w:t>
      </w:r>
      <w:r w:rsidRPr="0064535C">
        <w:rPr>
          <w:rFonts w:eastAsia="標楷體"/>
          <w:color w:val="000000"/>
          <w:kern w:val="0"/>
          <w:sz w:val="20"/>
          <w:szCs w:val="20"/>
        </w:rPr>
        <w:t>學年度第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二</w:t>
      </w:r>
      <w:r w:rsidRPr="0064535C">
        <w:rPr>
          <w:rFonts w:eastAsia="標楷體"/>
          <w:color w:val="000000"/>
          <w:kern w:val="0"/>
          <w:sz w:val="20"/>
          <w:szCs w:val="20"/>
        </w:rPr>
        <w:t>次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教</w:t>
      </w:r>
      <w:r w:rsidRPr="0064535C">
        <w:rPr>
          <w:rFonts w:eastAsia="標楷體"/>
          <w:color w:val="000000"/>
          <w:kern w:val="0"/>
          <w:sz w:val="20"/>
          <w:szCs w:val="20"/>
        </w:rPr>
        <w:t>務會議通過</w:t>
      </w:r>
    </w:p>
    <w:p w:rsidR="00D33605" w:rsidRPr="001B0A33" w:rsidRDefault="00D33605" w:rsidP="00D33605">
      <w:pPr>
        <w:spacing w:after="180"/>
        <w:ind w:left="10" w:right="24" w:hanging="10"/>
        <w:rPr>
          <w:rFonts w:hint="eastAsia"/>
          <w:color w:val="000000"/>
        </w:rPr>
      </w:pPr>
    </w:p>
    <w:p w:rsidR="00D33605" w:rsidRPr="001B0A33" w:rsidRDefault="00D33605" w:rsidP="00D33605">
      <w:pPr>
        <w:pStyle w:val="a3"/>
        <w:widowControl w:val="0"/>
        <w:numPr>
          <w:ilvl w:val="0"/>
          <w:numId w:val="5"/>
        </w:numPr>
        <w:ind w:leftChars="0" w:left="851" w:hanging="709"/>
        <w:rPr>
          <w:rFonts w:eastAsia="標楷體"/>
          <w:color w:val="000000"/>
          <w:sz w:val="24"/>
          <w:szCs w:val="26"/>
        </w:r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為使本校學生具備從事研究工作所需之正確倫理認知與態度，特訂定本要點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。</w:t>
      </w:r>
    </w:p>
    <w:p w:rsidR="00D33605" w:rsidRPr="001B0A33" w:rsidRDefault="00D33605" w:rsidP="00D33605">
      <w:pPr>
        <w:pStyle w:val="a3"/>
        <w:widowControl w:val="0"/>
        <w:numPr>
          <w:ilvl w:val="0"/>
          <w:numId w:val="5"/>
        </w:numPr>
        <w:ind w:leftChars="0" w:left="851" w:hanging="709"/>
        <w:rPr>
          <w:rFonts w:eastAsia="標楷體"/>
          <w:color w:val="000000"/>
          <w:sz w:val="24"/>
          <w:szCs w:val="26"/>
        </w:rPr>
      </w:pPr>
      <w:r w:rsidRPr="001B0A33">
        <w:rPr>
          <w:rFonts w:eastAsia="標楷體" w:hint="eastAsia"/>
          <w:color w:val="000000"/>
          <w:sz w:val="24"/>
          <w:szCs w:val="26"/>
        </w:rPr>
        <w:t>本要點實施對象為本校</w:t>
      </w:r>
      <w:r w:rsidRPr="001B0A33">
        <w:rPr>
          <w:rFonts w:ascii="Times New Roman" w:eastAsia="標楷體" w:hAnsi="Times New Roman"/>
          <w:color w:val="000000"/>
          <w:sz w:val="24"/>
          <w:szCs w:val="26"/>
          <w:lang w:eastAsia="zh-TW"/>
        </w:rPr>
        <w:t>106</w:t>
      </w:r>
      <w:r w:rsidRPr="001B0A33">
        <w:rPr>
          <w:rFonts w:eastAsia="標楷體" w:hint="eastAsia"/>
          <w:color w:val="000000"/>
          <w:sz w:val="24"/>
          <w:szCs w:val="26"/>
        </w:rPr>
        <w:t>學年度起入學之碩士班（含碩士在職專班）與博士班研究生。</w:t>
      </w:r>
    </w:p>
    <w:p w:rsidR="00D33605" w:rsidRPr="001B0A33" w:rsidRDefault="00D33605" w:rsidP="00D33605">
      <w:pPr>
        <w:pStyle w:val="a3"/>
        <w:widowControl w:val="0"/>
        <w:numPr>
          <w:ilvl w:val="0"/>
          <w:numId w:val="5"/>
        </w:numPr>
        <w:ind w:leftChars="0" w:left="851" w:hanging="709"/>
        <w:rPr>
          <w:rFonts w:eastAsia="標楷體"/>
          <w:color w:val="000000"/>
          <w:sz w:val="24"/>
          <w:szCs w:val="26"/>
        </w:r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實施方式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：</w:t>
      </w:r>
    </w:p>
    <w:p w:rsidR="00D33605" w:rsidRPr="001B0A33" w:rsidRDefault="00D33605" w:rsidP="00D33605">
      <w:pPr>
        <w:pStyle w:val="a3"/>
        <w:widowControl w:val="0"/>
        <w:numPr>
          <w:ilvl w:val="0"/>
          <w:numId w:val="6"/>
        </w:numPr>
        <w:tabs>
          <w:tab w:val="left" w:pos="601"/>
        </w:tabs>
        <w:ind w:leftChars="355" w:left="1337" w:hangingChars="202" w:hanging="485"/>
        <w:rPr>
          <w:rFonts w:eastAsia="標楷體"/>
          <w:color w:val="000000"/>
          <w:sz w:val="24"/>
          <w:szCs w:val="26"/>
        </w:r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教務處每學期將新生資料傳至「臺灣學術倫理教育資源中心」線上平台，協助帳號建置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。</w:t>
      </w:r>
    </w:p>
    <w:p w:rsidR="00D33605" w:rsidRPr="001B0A33" w:rsidRDefault="00D33605" w:rsidP="00D33605">
      <w:pPr>
        <w:pStyle w:val="a3"/>
        <w:widowControl w:val="0"/>
        <w:numPr>
          <w:ilvl w:val="0"/>
          <w:numId w:val="6"/>
        </w:numPr>
        <w:tabs>
          <w:tab w:val="left" w:pos="601"/>
        </w:tabs>
        <w:ind w:leftChars="355" w:left="1337" w:hangingChars="202" w:hanging="485"/>
        <w:rPr>
          <w:rFonts w:eastAsia="標楷體"/>
          <w:color w:val="000000"/>
          <w:sz w:val="24"/>
          <w:szCs w:val="26"/>
        </w:r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學生應於</w:t>
      </w:r>
      <w:r w:rsidRPr="001B0A33">
        <w:rPr>
          <w:rFonts w:eastAsia="標楷體" w:hint="eastAsia"/>
          <w:b/>
          <w:color w:val="000000"/>
          <w:sz w:val="24"/>
          <w:szCs w:val="26"/>
          <w:u w:val="single"/>
          <w:lang w:eastAsia="zh-TW"/>
        </w:rPr>
        <w:t>在</w:t>
      </w:r>
      <w:r w:rsidRPr="001B0A33">
        <w:rPr>
          <w:rFonts w:eastAsia="標楷體" w:hint="eastAsia"/>
          <w:b/>
          <w:color w:val="000000"/>
          <w:sz w:val="24"/>
          <w:szCs w:val="26"/>
          <w:u w:val="single"/>
        </w:rPr>
        <w:t>學</w:t>
      </w:r>
      <w:r w:rsidRPr="001B0A33">
        <w:rPr>
          <w:rFonts w:eastAsia="標楷體" w:hint="eastAsia"/>
          <w:color w:val="000000"/>
          <w:sz w:val="24"/>
          <w:szCs w:val="26"/>
        </w:rPr>
        <w:t>第一學期至「臺灣學術倫理教育資源中心」網站自我學習，並通過總測驗取得修課證明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。</w:t>
      </w:r>
    </w:p>
    <w:p w:rsidR="00D33605" w:rsidRPr="001B0A33" w:rsidRDefault="00D33605" w:rsidP="00D33605">
      <w:pPr>
        <w:pStyle w:val="a3"/>
        <w:widowControl w:val="0"/>
        <w:numPr>
          <w:ilvl w:val="0"/>
          <w:numId w:val="6"/>
        </w:numPr>
        <w:ind w:leftChars="355" w:left="1337" w:hangingChars="202" w:hanging="485"/>
        <w:rPr>
          <w:rFonts w:eastAsia="標楷體"/>
          <w:color w:val="000000"/>
          <w:sz w:val="24"/>
          <w:szCs w:val="26"/>
        </w:r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學生完成「學術倫理教育」全部核心單元並通過總測驗，即可於網站申請下載修課證明。該課程與成績不登錄於歷年成績表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。</w:t>
      </w:r>
    </w:p>
    <w:p w:rsidR="00D33605" w:rsidRPr="001B0A33" w:rsidRDefault="00D33605" w:rsidP="00D33605">
      <w:pPr>
        <w:pStyle w:val="a3"/>
        <w:widowControl w:val="0"/>
        <w:numPr>
          <w:ilvl w:val="0"/>
          <w:numId w:val="5"/>
        </w:numPr>
        <w:ind w:leftChars="0" w:left="851" w:hanging="709"/>
        <w:rPr>
          <w:rFonts w:eastAsia="標楷體"/>
          <w:color w:val="000000"/>
          <w:sz w:val="24"/>
          <w:szCs w:val="26"/>
        </w:r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各系所、學位學程除「學術倫理教育」全部核心單元之外，亦得自訂更多專業修習單元，並送教務處備查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。</w:t>
      </w:r>
    </w:p>
    <w:p w:rsidR="00D33605" w:rsidRPr="001B0A33" w:rsidRDefault="00D33605" w:rsidP="00D33605">
      <w:pPr>
        <w:pStyle w:val="a3"/>
        <w:widowControl w:val="0"/>
        <w:numPr>
          <w:ilvl w:val="0"/>
          <w:numId w:val="5"/>
        </w:numPr>
        <w:ind w:leftChars="0" w:left="851" w:hanging="709"/>
        <w:rPr>
          <w:rFonts w:eastAsia="標楷體"/>
          <w:color w:val="000000"/>
          <w:sz w:val="24"/>
          <w:szCs w:val="26"/>
        </w:r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學生須出示「臺灣學術倫理教育資源中心」網站之「學術倫理教育」修課證明，方得申請學位口試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。</w:t>
      </w:r>
    </w:p>
    <w:p w:rsidR="00D33605" w:rsidRPr="001B0A33" w:rsidRDefault="00D33605" w:rsidP="00D33605">
      <w:pPr>
        <w:pStyle w:val="a3"/>
        <w:widowControl w:val="0"/>
        <w:numPr>
          <w:ilvl w:val="0"/>
          <w:numId w:val="5"/>
        </w:numPr>
        <w:ind w:leftChars="0" w:left="851" w:hanging="709"/>
        <w:rPr>
          <w:rFonts w:eastAsia="標楷體"/>
          <w:color w:val="000000"/>
          <w:sz w:val="24"/>
          <w:szCs w:val="26"/>
        </w:rPr>
        <w:sectPr w:rsidR="00D33605" w:rsidRPr="001B0A33" w:rsidSect="002D23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  <w:proofErr w:type="spellStart"/>
      <w:r w:rsidRPr="001B0A33">
        <w:rPr>
          <w:rFonts w:eastAsia="標楷體" w:hint="eastAsia"/>
          <w:color w:val="000000"/>
          <w:sz w:val="24"/>
          <w:szCs w:val="26"/>
        </w:rPr>
        <w:t>本要點經教務會議通過後實施</w:t>
      </w:r>
      <w:proofErr w:type="spellEnd"/>
      <w:r w:rsidRPr="001B0A33">
        <w:rPr>
          <w:rFonts w:eastAsia="標楷體" w:hint="eastAsia"/>
          <w:color w:val="000000"/>
          <w:sz w:val="24"/>
          <w:szCs w:val="26"/>
        </w:rPr>
        <w:t>。</w:t>
      </w:r>
    </w:p>
    <w:p w:rsidR="00D33605" w:rsidRPr="001B0A33" w:rsidRDefault="00D33605" w:rsidP="00D33605">
      <w:pPr>
        <w:spacing w:line="440" w:lineRule="exact"/>
        <w:rPr>
          <w:rFonts w:eastAsia="標楷體" w:cs="Calibri"/>
          <w:b/>
          <w:color w:val="000000"/>
          <w:sz w:val="32"/>
          <w:szCs w:val="32"/>
        </w:rPr>
      </w:pPr>
      <w:r w:rsidRPr="001B0A33">
        <w:rPr>
          <w:rFonts w:eastAsia="標楷體" w:hint="eastAsia"/>
          <w:b/>
          <w:color w:val="000000"/>
          <w:sz w:val="32"/>
          <w:szCs w:val="36"/>
        </w:rPr>
        <w:lastRenderedPageBreak/>
        <w:t>高雄醫學大學研究生學術研究倫理教育實施要點</w:t>
      </w:r>
      <w:r w:rsidRPr="001B0A33">
        <w:rPr>
          <w:rFonts w:eastAsia="標楷體" w:cs="Calibri"/>
          <w:b/>
          <w:color w:val="000000"/>
          <w:sz w:val="32"/>
          <w:szCs w:val="32"/>
        </w:rPr>
        <w:t>（修正</w:t>
      </w:r>
      <w:r w:rsidRPr="001B0A33">
        <w:rPr>
          <w:rFonts w:eastAsia="標楷體" w:cs="Calibri" w:hint="eastAsia"/>
          <w:b/>
          <w:color w:val="000000"/>
          <w:sz w:val="32"/>
          <w:szCs w:val="32"/>
        </w:rPr>
        <w:t>條文</w:t>
      </w:r>
      <w:r w:rsidRPr="001B0A33">
        <w:rPr>
          <w:rFonts w:eastAsia="標楷體" w:cs="Calibri"/>
          <w:b/>
          <w:color w:val="000000"/>
          <w:sz w:val="32"/>
          <w:szCs w:val="32"/>
        </w:rPr>
        <w:t>對照表）</w:t>
      </w:r>
    </w:p>
    <w:p w:rsidR="00D33605" w:rsidRPr="001B0A33" w:rsidRDefault="00D33605" w:rsidP="00D33605">
      <w:pPr>
        <w:tabs>
          <w:tab w:val="left" w:pos="6521"/>
        </w:tabs>
        <w:spacing w:line="240" w:lineRule="exact"/>
        <w:ind w:right="-2"/>
        <w:jc w:val="right"/>
        <w:rPr>
          <w:rFonts w:eastAsia="標楷體" w:hint="eastAsia"/>
          <w:noProof/>
          <w:color w:val="000000"/>
          <w:sz w:val="20"/>
        </w:rPr>
      </w:pPr>
    </w:p>
    <w:p w:rsidR="00D33605" w:rsidRDefault="00D33605" w:rsidP="00D33605">
      <w:pPr>
        <w:tabs>
          <w:tab w:val="left" w:pos="6521"/>
        </w:tabs>
        <w:spacing w:line="240" w:lineRule="exact"/>
        <w:ind w:right="-2"/>
        <w:jc w:val="right"/>
        <w:rPr>
          <w:rFonts w:eastAsia="標楷體" w:hAnsi="標楷體" w:hint="eastAsia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</w:t>
      </w:r>
      <w:r w:rsidRPr="001B0A33">
        <w:rPr>
          <w:rFonts w:eastAsia="標楷體" w:hint="eastAsia"/>
          <w:noProof/>
          <w:color w:val="000000"/>
          <w:sz w:val="20"/>
        </w:rPr>
        <w:t>6</w:t>
      </w:r>
      <w:r w:rsidRPr="001B0A33">
        <w:rPr>
          <w:rFonts w:eastAsia="標楷體"/>
          <w:noProof/>
          <w:color w:val="000000"/>
          <w:sz w:val="20"/>
        </w:rPr>
        <w:t>.0</w:t>
      </w:r>
      <w:r w:rsidRPr="001B0A33">
        <w:rPr>
          <w:rFonts w:eastAsia="標楷體" w:hint="eastAsia"/>
          <w:noProof/>
          <w:color w:val="000000"/>
          <w:sz w:val="20"/>
        </w:rPr>
        <w:t>1</w:t>
      </w:r>
      <w:r w:rsidRPr="001B0A33">
        <w:rPr>
          <w:rFonts w:eastAsia="標楷體"/>
          <w:noProof/>
          <w:color w:val="000000"/>
          <w:sz w:val="20"/>
        </w:rPr>
        <w:t>.</w:t>
      </w:r>
      <w:r w:rsidRPr="001B0A33">
        <w:rPr>
          <w:rFonts w:eastAsia="標楷體" w:hint="eastAsia"/>
          <w:noProof/>
          <w:color w:val="000000"/>
          <w:sz w:val="20"/>
        </w:rPr>
        <w:t>06</w:t>
      </w:r>
      <w:r w:rsidRPr="001B0A33">
        <w:rPr>
          <w:rFonts w:eastAsia="標楷體" w:hAnsi="標楷體"/>
          <w:noProof/>
          <w:color w:val="000000"/>
          <w:sz w:val="20"/>
        </w:rPr>
        <w:t>一</w:t>
      </w:r>
      <w:r w:rsidRPr="001B0A33">
        <w:rPr>
          <w:rFonts w:eastAsia="標楷體"/>
          <w:noProof/>
          <w:color w:val="000000"/>
          <w:sz w:val="20"/>
        </w:rPr>
        <w:t>O</w:t>
      </w:r>
      <w:r w:rsidRPr="001B0A33">
        <w:rPr>
          <w:rFonts w:eastAsia="標楷體" w:hAnsi="標楷體" w:hint="eastAsia"/>
          <w:noProof/>
          <w:color w:val="000000"/>
          <w:sz w:val="20"/>
        </w:rPr>
        <w:t>五</w:t>
      </w:r>
      <w:r w:rsidRPr="001B0A33">
        <w:rPr>
          <w:rFonts w:eastAsia="標楷體" w:hAnsi="標楷體"/>
          <w:noProof/>
          <w:color w:val="000000"/>
          <w:sz w:val="20"/>
        </w:rPr>
        <w:t>學年度第</w:t>
      </w:r>
      <w:r w:rsidRPr="001B0A33">
        <w:rPr>
          <w:rFonts w:eastAsia="標楷體" w:hAnsi="標楷體" w:hint="eastAsia"/>
          <w:noProof/>
          <w:color w:val="000000"/>
          <w:sz w:val="20"/>
        </w:rPr>
        <w:t>三</w:t>
      </w:r>
      <w:r w:rsidRPr="001B0A33">
        <w:rPr>
          <w:rFonts w:eastAsia="標楷體" w:hAnsi="標楷體"/>
          <w:noProof/>
          <w:color w:val="000000"/>
          <w:sz w:val="20"/>
        </w:rPr>
        <w:t>次教務會議通過</w:t>
      </w:r>
    </w:p>
    <w:p w:rsidR="00D33605" w:rsidRPr="001B0A33" w:rsidRDefault="00D33605" w:rsidP="00D33605">
      <w:pPr>
        <w:tabs>
          <w:tab w:val="left" w:pos="6521"/>
        </w:tabs>
        <w:spacing w:line="240" w:lineRule="exact"/>
        <w:ind w:right="-2"/>
        <w:jc w:val="right"/>
        <w:rPr>
          <w:rFonts w:eastAsia="標楷體" w:hint="eastAsia"/>
          <w:color w:val="000000"/>
          <w:sz w:val="20"/>
        </w:rPr>
      </w:pPr>
      <w:r w:rsidRPr="0064535C">
        <w:rPr>
          <w:rFonts w:eastAsia="標楷體"/>
          <w:color w:val="000000"/>
          <w:kern w:val="0"/>
          <w:sz w:val="20"/>
          <w:szCs w:val="20"/>
        </w:rPr>
        <w:t>10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7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proofErr w:type="gramStart"/>
      <w:r w:rsidRPr="0064535C">
        <w:rPr>
          <w:rFonts w:eastAsia="標楷體"/>
          <w:color w:val="000000"/>
          <w:kern w:val="0"/>
          <w:sz w:val="20"/>
          <w:szCs w:val="20"/>
        </w:rPr>
        <w:t>一</w:t>
      </w:r>
      <w:proofErr w:type="gramEnd"/>
      <w:r w:rsidRPr="0064535C">
        <w:rPr>
          <w:rFonts w:eastAsia="標楷體"/>
          <w:color w:val="000000"/>
          <w:kern w:val="0"/>
          <w:sz w:val="20"/>
          <w:szCs w:val="20"/>
        </w:rPr>
        <w:t>O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七</w:t>
      </w:r>
      <w:r w:rsidRPr="0064535C">
        <w:rPr>
          <w:rFonts w:eastAsia="標楷體"/>
          <w:color w:val="000000"/>
          <w:kern w:val="0"/>
          <w:sz w:val="20"/>
          <w:szCs w:val="20"/>
        </w:rPr>
        <w:t>學年度第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二</w:t>
      </w:r>
      <w:r w:rsidRPr="0064535C">
        <w:rPr>
          <w:rFonts w:eastAsia="標楷體"/>
          <w:color w:val="000000"/>
          <w:kern w:val="0"/>
          <w:sz w:val="20"/>
          <w:szCs w:val="20"/>
        </w:rPr>
        <w:t>次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教</w:t>
      </w:r>
      <w:r w:rsidRPr="0064535C">
        <w:rPr>
          <w:rFonts w:eastAsia="標楷體"/>
          <w:color w:val="000000"/>
          <w:kern w:val="0"/>
          <w:sz w:val="20"/>
          <w:szCs w:val="20"/>
        </w:rPr>
        <w:t>務會議通過</w:t>
      </w:r>
    </w:p>
    <w:p w:rsidR="00D33605" w:rsidRPr="001B0A33" w:rsidRDefault="00D33605" w:rsidP="00D33605">
      <w:pPr>
        <w:tabs>
          <w:tab w:val="left" w:pos="6521"/>
        </w:tabs>
        <w:spacing w:line="240" w:lineRule="exact"/>
        <w:ind w:rightChars="1475" w:right="3540"/>
        <w:jc w:val="right"/>
        <w:rPr>
          <w:rFonts w:eastAsia="標楷體"/>
          <w:color w:val="000000"/>
          <w:sz w:val="20"/>
        </w:rPr>
      </w:pPr>
    </w:p>
    <w:tbl>
      <w:tblPr>
        <w:tblW w:w="503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6"/>
        <w:gridCol w:w="4316"/>
        <w:gridCol w:w="1859"/>
      </w:tblGrid>
      <w:tr w:rsidR="00D33605" w:rsidRPr="001B0A33" w:rsidTr="0018175B">
        <w:trPr>
          <w:trHeight w:val="426"/>
          <w:tblHeader/>
        </w:trPr>
        <w:tc>
          <w:tcPr>
            <w:tcW w:w="2057" w:type="pct"/>
            <w:shd w:val="clear" w:color="auto" w:fill="auto"/>
            <w:vAlign w:val="center"/>
          </w:tcPr>
          <w:p w:rsidR="00D33605" w:rsidRPr="001B0A33" w:rsidRDefault="00D33605" w:rsidP="0018175B">
            <w:pPr>
              <w:contextualSpacing/>
              <w:jc w:val="center"/>
              <w:rPr>
                <w:rFonts w:eastAsia="標楷體" w:cs="Calibri"/>
                <w:b/>
                <w:color w:val="000000"/>
              </w:rPr>
            </w:pPr>
            <w:r w:rsidRPr="001B0A33">
              <w:rPr>
                <w:rFonts w:eastAsia="標楷體" w:cs="Calibri"/>
                <w:b/>
                <w:color w:val="000000"/>
              </w:rPr>
              <w:t xml:space="preserve">修　正　</w:t>
            </w:r>
            <w:proofErr w:type="gramStart"/>
            <w:r w:rsidRPr="001B0A33">
              <w:rPr>
                <w:rFonts w:eastAsia="標楷體" w:cs="Calibri" w:hint="eastAsia"/>
                <w:b/>
                <w:color w:val="000000"/>
              </w:rPr>
              <w:t>規</w:t>
            </w:r>
            <w:proofErr w:type="gramEnd"/>
            <w:r w:rsidRPr="001B0A33">
              <w:rPr>
                <w:rFonts w:eastAsia="標楷體" w:cs="Calibri" w:hint="eastAsia"/>
                <w:b/>
                <w:color w:val="000000"/>
              </w:rPr>
              <w:t xml:space="preserve">　定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D33605" w:rsidRPr="001B0A33" w:rsidRDefault="00D33605" w:rsidP="0018175B">
            <w:pPr>
              <w:contextualSpacing/>
              <w:jc w:val="center"/>
              <w:rPr>
                <w:rFonts w:eastAsia="標楷體" w:cs="Calibri"/>
                <w:b/>
                <w:color w:val="000000"/>
              </w:rPr>
            </w:pPr>
            <w:r w:rsidRPr="001B0A33">
              <w:rPr>
                <w:rFonts w:eastAsia="標楷體" w:cs="Calibri"/>
                <w:b/>
                <w:color w:val="000000"/>
              </w:rPr>
              <w:t xml:space="preserve">現　行　</w:t>
            </w:r>
            <w:proofErr w:type="gramStart"/>
            <w:r w:rsidRPr="001B0A33">
              <w:rPr>
                <w:rFonts w:eastAsia="標楷體" w:cs="Calibri" w:hint="eastAsia"/>
                <w:b/>
                <w:color w:val="000000"/>
              </w:rPr>
              <w:t>規</w:t>
            </w:r>
            <w:proofErr w:type="gramEnd"/>
            <w:r w:rsidRPr="001B0A33">
              <w:rPr>
                <w:rFonts w:eastAsia="標楷體" w:cs="Calibri" w:hint="eastAsia"/>
                <w:b/>
                <w:color w:val="000000"/>
              </w:rPr>
              <w:t xml:space="preserve">　定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D33605" w:rsidRPr="001B0A33" w:rsidRDefault="00D33605" w:rsidP="0018175B">
            <w:pPr>
              <w:contextualSpacing/>
              <w:jc w:val="center"/>
              <w:rPr>
                <w:rFonts w:eastAsia="標楷體" w:cs="Calibri"/>
                <w:b/>
                <w:color w:val="000000"/>
              </w:rPr>
            </w:pPr>
            <w:r w:rsidRPr="001B0A33">
              <w:rPr>
                <w:rFonts w:eastAsia="標楷體" w:cs="Calibri"/>
                <w:b/>
                <w:color w:val="000000"/>
              </w:rPr>
              <w:t>說　　明</w:t>
            </w:r>
          </w:p>
        </w:tc>
      </w:tr>
      <w:tr w:rsidR="00D33605" w:rsidRPr="001B0A33" w:rsidTr="0018175B">
        <w:trPr>
          <w:trHeight w:val="1092"/>
          <w:tblHeader/>
        </w:trPr>
        <w:tc>
          <w:tcPr>
            <w:tcW w:w="2057" w:type="pct"/>
            <w:shd w:val="clear" w:color="auto" w:fill="auto"/>
          </w:tcPr>
          <w:p w:rsidR="00D33605" w:rsidRPr="001B0A33" w:rsidRDefault="00D33605" w:rsidP="0018175B">
            <w:pPr>
              <w:rPr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  <w:shd w:val="clear" w:color="auto" w:fill="auto"/>
          </w:tcPr>
          <w:p w:rsidR="00D33605" w:rsidRPr="001B0A33" w:rsidRDefault="00D33605" w:rsidP="00D336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26"/>
              </w:tabs>
              <w:ind w:leftChars="0" w:left="526" w:rightChars="5" w:right="12" w:hanging="526"/>
              <w:contextualSpacing/>
              <w:jc w:val="both"/>
              <w:rPr>
                <w:rFonts w:ascii="標楷體" w:eastAsia="標楷體" w:hAnsi="標楷體" w:cs="Calibri"/>
                <w:color w:val="000000"/>
                <w:sz w:val="24"/>
              </w:rPr>
            </w:pPr>
            <w:proofErr w:type="spellStart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為使本校學生具備從事研究工作所需之正確倫理認知與態度，特訂定本要點</w:t>
            </w:r>
            <w:proofErr w:type="spellEnd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886" w:type="pct"/>
            <w:shd w:val="clear" w:color="auto" w:fill="auto"/>
          </w:tcPr>
          <w:p w:rsidR="00D33605" w:rsidRPr="001B0A33" w:rsidRDefault="00D33605" w:rsidP="0018175B">
            <w:pPr>
              <w:rPr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D33605" w:rsidRPr="001B0A33" w:rsidTr="0018175B">
        <w:trPr>
          <w:trHeight w:val="1108"/>
          <w:tblHeader/>
        </w:trPr>
        <w:tc>
          <w:tcPr>
            <w:tcW w:w="2057" w:type="pct"/>
            <w:shd w:val="clear" w:color="auto" w:fill="auto"/>
          </w:tcPr>
          <w:p w:rsidR="00D33605" w:rsidRPr="001B0A33" w:rsidRDefault="00D33605" w:rsidP="0018175B">
            <w:pPr>
              <w:rPr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  <w:shd w:val="clear" w:color="auto" w:fill="auto"/>
          </w:tcPr>
          <w:p w:rsidR="00D33605" w:rsidRPr="001B0A33" w:rsidRDefault="00D33605" w:rsidP="00D336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26"/>
              </w:tabs>
              <w:ind w:leftChars="0" w:left="526" w:hanging="526"/>
              <w:contextualSpacing/>
              <w:jc w:val="both"/>
              <w:rPr>
                <w:rFonts w:ascii="標楷體" w:eastAsia="標楷體" w:hAnsi="標楷體" w:cs="Calibri"/>
                <w:color w:val="000000"/>
                <w:sz w:val="24"/>
              </w:rPr>
            </w:pPr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本要點實施對象為本校</w:t>
            </w:r>
            <w:r w:rsidRPr="001B0A33">
              <w:rPr>
                <w:rFonts w:ascii="標楷體" w:eastAsia="標楷體" w:hAnsi="標楷體"/>
                <w:color w:val="000000"/>
                <w:sz w:val="24"/>
              </w:rPr>
              <w:t>106</w:t>
            </w:r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學年度起入學之碩士班（含碩士在職專班）與博士班研究生。</w:t>
            </w:r>
          </w:p>
        </w:tc>
        <w:tc>
          <w:tcPr>
            <w:tcW w:w="886" w:type="pct"/>
            <w:shd w:val="clear" w:color="auto" w:fill="auto"/>
          </w:tcPr>
          <w:p w:rsidR="00D33605" w:rsidRPr="001B0A33" w:rsidRDefault="00D33605" w:rsidP="0018175B">
            <w:pPr>
              <w:rPr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D33605" w:rsidRPr="001B0A33" w:rsidTr="0018175B">
        <w:trPr>
          <w:trHeight w:val="4540"/>
          <w:tblHeader/>
        </w:trPr>
        <w:tc>
          <w:tcPr>
            <w:tcW w:w="2057" w:type="pct"/>
            <w:shd w:val="clear" w:color="auto" w:fill="auto"/>
          </w:tcPr>
          <w:p w:rsidR="00D33605" w:rsidRPr="001B0A33" w:rsidRDefault="00D33605" w:rsidP="00D3360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26"/>
              </w:tabs>
              <w:ind w:leftChars="0" w:left="526" w:hanging="526"/>
              <w:contextualSpacing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proofErr w:type="spellStart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實施方式</w:t>
            </w:r>
            <w:proofErr w:type="spellEnd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：</w:t>
            </w:r>
          </w:p>
          <w:p w:rsidR="00D33605" w:rsidRPr="001B0A33" w:rsidRDefault="00D33605" w:rsidP="00D3360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526"/>
                <w:tab w:val="left" w:pos="1093"/>
              </w:tabs>
              <w:ind w:leftChars="0" w:left="1098" w:hanging="572"/>
              <w:contextualSpacing/>
              <w:jc w:val="both"/>
              <w:rPr>
                <w:rFonts w:ascii="標楷體" w:eastAsia="標楷體" w:hAnsi="標楷體" w:hint="eastAsia"/>
                <w:color w:val="000000"/>
                <w:sz w:val="24"/>
              </w:rPr>
            </w:pPr>
            <w:proofErr w:type="spellStart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教務處每學期將新生資料傳至「臺灣學術倫理教育資源中心」線上平台，協助帳號建置</w:t>
            </w:r>
            <w:proofErr w:type="spellEnd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  <w:p w:rsidR="00D33605" w:rsidRPr="001B0A33" w:rsidRDefault="00D33605" w:rsidP="00D3360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526"/>
                <w:tab w:val="left" w:pos="1093"/>
              </w:tabs>
              <w:ind w:leftChars="0" w:left="1098" w:hanging="572"/>
              <w:contextualSpacing/>
              <w:jc w:val="both"/>
              <w:rPr>
                <w:rFonts w:ascii="標楷體" w:eastAsia="標楷體" w:hAnsi="標楷體" w:hint="eastAsia"/>
                <w:color w:val="000000"/>
                <w:sz w:val="24"/>
              </w:rPr>
            </w:pPr>
            <w:proofErr w:type="spellStart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學生應於</w:t>
            </w:r>
            <w:r w:rsidRPr="001B0A33">
              <w:rPr>
                <w:rFonts w:ascii="標楷體" w:eastAsia="標楷體" w:hAnsi="標楷體" w:hint="eastAsia"/>
                <w:b/>
                <w:color w:val="000000"/>
                <w:sz w:val="24"/>
                <w:u w:val="single"/>
                <w:lang w:eastAsia="zh-TW"/>
              </w:rPr>
              <w:t>在</w:t>
            </w:r>
            <w:r w:rsidRPr="001B0A33">
              <w:rPr>
                <w:rFonts w:ascii="標楷體" w:eastAsia="標楷體" w:hAnsi="標楷體" w:hint="eastAsia"/>
                <w:b/>
                <w:color w:val="000000"/>
                <w:sz w:val="24"/>
                <w:u w:val="single"/>
              </w:rPr>
              <w:t>學</w:t>
            </w:r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第一學期至「臺灣學術倫理教育資源中心」網站自我學習，並通過總測驗取得修課證明</w:t>
            </w:r>
            <w:proofErr w:type="spellEnd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  <w:p w:rsidR="00D33605" w:rsidRPr="001B0A33" w:rsidRDefault="00D33605" w:rsidP="00D3360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526"/>
                <w:tab w:val="left" w:pos="1093"/>
              </w:tabs>
              <w:ind w:leftChars="0" w:left="1098" w:hanging="572"/>
              <w:contextualSpacing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proofErr w:type="spellStart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學生完成「學術倫理教育」全部核心單元並通過總測驗，即可於網站申請下載修課證明。該課程與成績不登錄於歷年成績表</w:t>
            </w:r>
            <w:proofErr w:type="spellEnd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2057" w:type="pct"/>
            <w:shd w:val="clear" w:color="auto" w:fill="auto"/>
          </w:tcPr>
          <w:p w:rsidR="00D33605" w:rsidRPr="001B0A33" w:rsidRDefault="00D33605" w:rsidP="00D3360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26"/>
              </w:tabs>
              <w:ind w:leftChars="0" w:left="526"/>
              <w:contextualSpacing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proofErr w:type="spellStart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實施方式</w:t>
            </w:r>
            <w:proofErr w:type="spellEnd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：</w:t>
            </w:r>
          </w:p>
          <w:p w:rsidR="00D33605" w:rsidRPr="001B0A33" w:rsidRDefault="00D33605" w:rsidP="00D3360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526"/>
                <w:tab w:val="left" w:pos="1093"/>
              </w:tabs>
              <w:ind w:leftChars="0" w:left="1093" w:hanging="567"/>
              <w:contextualSpacing/>
              <w:jc w:val="both"/>
              <w:rPr>
                <w:rFonts w:ascii="標楷體" w:eastAsia="標楷體" w:hAnsi="標楷體" w:hint="eastAsia"/>
                <w:color w:val="000000"/>
                <w:sz w:val="24"/>
              </w:rPr>
            </w:pPr>
            <w:proofErr w:type="spellStart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教務處每學期將新生資料傳至「臺灣學術倫理教育資源中心」線上平台，協助帳號建置</w:t>
            </w:r>
            <w:proofErr w:type="spellEnd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  <w:p w:rsidR="00D33605" w:rsidRPr="001B0A33" w:rsidRDefault="00D33605" w:rsidP="00D3360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526"/>
                <w:tab w:val="left" w:pos="1093"/>
              </w:tabs>
              <w:ind w:leftChars="0" w:left="1093" w:hanging="567"/>
              <w:contextualSpacing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proofErr w:type="spellStart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學生應於</w:t>
            </w:r>
            <w:r w:rsidRPr="001B0A33">
              <w:rPr>
                <w:rFonts w:ascii="標楷體" w:eastAsia="標楷體" w:hAnsi="標楷體" w:hint="eastAsia"/>
                <w:b/>
                <w:color w:val="000000"/>
                <w:sz w:val="24"/>
                <w:u w:val="single"/>
              </w:rPr>
              <w:t>入學</w:t>
            </w:r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第一學期至「臺灣學術倫理教育資源中心」網站自我學習，並通過總測驗取得修課證明</w:t>
            </w:r>
            <w:proofErr w:type="spellEnd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  <w:p w:rsidR="00D33605" w:rsidRPr="001B0A33" w:rsidRDefault="00D33605" w:rsidP="00D3360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526"/>
                <w:tab w:val="left" w:pos="1093"/>
              </w:tabs>
              <w:ind w:leftChars="0" w:left="1093" w:hanging="567"/>
              <w:contextualSpacing/>
              <w:jc w:val="both"/>
              <w:rPr>
                <w:rFonts w:ascii="標楷體" w:eastAsia="標楷體" w:hAnsi="標楷體" w:cs="Calibri"/>
                <w:color w:val="000000"/>
                <w:sz w:val="24"/>
              </w:rPr>
            </w:pPr>
            <w:proofErr w:type="spellStart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學生完成「學術倫理教育」全部核心單元並通過總測驗，即可於網站申請下載修課證明。該課程與成績不登錄於歷年成績表</w:t>
            </w:r>
            <w:proofErr w:type="spellEnd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886" w:type="pct"/>
            <w:shd w:val="clear" w:color="auto" w:fill="auto"/>
          </w:tcPr>
          <w:p w:rsidR="00D33605" w:rsidRPr="001B0A33" w:rsidRDefault="00D33605" w:rsidP="0018175B">
            <w:pPr>
              <w:contextualSpacing/>
              <w:jc w:val="both"/>
              <w:rPr>
                <w:rFonts w:eastAsia="標楷體" w:cs="Calibri" w:hint="eastAsia"/>
                <w:color w:val="000000"/>
              </w:rPr>
            </w:pPr>
            <w:r w:rsidRPr="001B0A33">
              <w:rPr>
                <w:rFonts w:ascii="標楷體" w:eastAsia="標楷體" w:hAnsi="標楷體"/>
                <w:b/>
                <w:color w:val="000000"/>
              </w:rPr>
              <w:t>修正條文內容</w:t>
            </w:r>
          </w:p>
          <w:p w:rsidR="00D33605" w:rsidRPr="001B0A33" w:rsidRDefault="00D33605" w:rsidP="0018175B">
            <w:pPr>
              <w:contextualSpacing/>
              <w:jc w:val="both"/>
              <w:rPr>
                <w:rFonts w:eastAsia="標楷體" w:cs="Calibri"/>
                <w:color w:val="000000"/>
              </w:rPr>
            </w:pPr>
            <w:r w:rsidRPr="001B0A33">
              <w:rPr>
                <w:rFonts w:eastAsia="標楷體" w:cs="Calibri" w:hint="eastAsia"/>
                <w:color w:val="000000"/>
              </w:rPr>
              <w:t>修改本點第二款，原入學第一學期，改為在學第一學期。以避免入學即休學的學生，其復學後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認知上的差異而造成誤會。</w:t>
            </w:r>
          </w:p>
        </w:tc>
      </w:tr>
      <w:tr w:rsidR="00D33605" w:rsidRPr="001B0A33" w:rsidTr="0018175B">
        <w:trPr>
          <w:trHeight w:val="1415"/>
          <w:tblHeader/>
        </w:trPr>
        <w:tc>
          <w:tcPr>
            <w:tcW w:w="2057" w:type="pct"/>
            <w:shd w:val="clear" w:color="auto" w:fill="auto"/>
          </w:tcPr>
          <w:p w:rsidR="00D33605" w:rsidRPr="001B0A33" w:rsidRDefault="00D33605" w:rsidP="0018175B">
            <w:pPr>
              <w:rPr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  <w:shd w:val="clear" w:color="auto" w:fill="auto"/>
          </w:tcPr>
          <w:p w:rsidR="00D33605" w:rsidRPr="001B0A33" w:rsidRDefault="00D33605" w:rsidP="00D3360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26"/>
              </w:tabs>
              <w:ind w:leftChars="0" w:left="526" w:hanging="526"/>
              <w:contextualSpacing/>
              <w:jc w:val="both"/>
              <w:rPr>
                <w:rFonts w:ascii="標楷體" w:eastAsia="標楷體" w:hAnsi="標楷體" w:cs="Calibri"/>
                <w:color w:val="000000"/>
                <w:sz w:val="24"/>
              </w:rPr>
            </w:pPr>
            <w:proofErr w:type="spellStart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各系所、學位學程除「學術倫理教育」全部核心單元之外，亦得自訂更多專業修習單元，並送教務處備查</w:t>
            </w:r>
            <w:proofErr w:type="spellEnd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886" w:type="pct"/>
            <w:shd w:val="clear" w:color="auto" w:fill="auto"/>
          </w:tcPr>
          <w:p w:rsidR="00D33605" w:rsidRPr="001B0A33" w:rsidRDefault="00D33605" w:rsidP="0018175B">
            <w:pPr>
              <w:rPr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D33605" w:rsidRPr="001B0A33" w:rsidTr="0018175B">
        <w:trPr>
          <w:trHeight w:val="1123"/>
          <w:tblHeader/>
        </w:trPr>
        <w:tc>
          <w:tcPr>
            <w:tcW w:w="2057" w:type="pct"/>
            <w:shd w:val="clear" w:color="auto" w:fill="auto"/>
          </w:tcPr>
          <w:p w:rsidR="00D33605" w:rsidRPr="001B0A33" w:rsidRDefault="00D33605" w:rsidP="0018175B">
            <w:pPr>
              <w:rPr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  <w:shd w:val="clear" w:color="auto" w:fill="auto"/>
          </w:tcPr>
          <w:p w:rsidR="00D33605" w:rsidRPr="001B0A33" w:rsidRDefault="00D33605" w:rsidP="00D3360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26"/>
              </w:tabs>
              <w:ind w:leftChars="0" w:left="526" w:hanging="526"/>
              <w:contextualSpacing/>
              <w:jc w:val="both"/>
              <w:rPr>
                <w:rFonts w:ascii="標楷體" w:eastAsia="標楷體" w:hAnsi="標楷體" w:cs="Calibri"/>
                <w:color w:val="000000"/>
                <w:sz w:val="24"/>
              </w:rPr>
            </w:pPr>
            <w:proofErr w:type="spellStart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學生須出示「臺灣學術倫理教育資源中心」網站之「學術倫理教育」修課證明，方得申請學位口試</w:t>
            </w:r>
            <w:proofErr w:type="spellEnd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886" w:type="pct"/>
            <w:shd w:val="clear" w:color="auto" w:fill="auto"/>
          </w:tcPr>
          <w:p w:rsidR="00D33605" w:rsidRPr="001B0A33" w:rsidRDefault="00D33605" w:rsidP="0018175B">
            <w:pPr>
              <w:rPr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D33605" w:rsidRPr="001B0A33" w:rsidTr="0018175B">
        <w:trPr>
          <w:trHeight w:val="426"/>
          <w:tblHeader/>
        </w:trPr>
        <w:tc>
          <w:tcPr>
            <w:tcW w:w="2057" w:type="pct"/>
            <w:shd w:val="clear" w:color="auto" w:fill="auto"/>
          </w:tcPr>
          <w:p w:rsidR="00D33605" w:rsidRPr="001B0A33" w:rsidRDefault="00D33605" w:rsidP="0018175B">
            <w:pPr>
              <w:rPr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  <w:shd w:val="clear" w:color="auto" w:fill="auto"/>
          </w:tcPr>
          <w:p w:rsidR="00D33605" w:rsidRPr="001B0A33" w:rsidRDefault="00D33605" w:rsidP="00D3360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26"/>
              </w:tabs>
              <w:ind w:leftChars="0" w:left="526" w:hanging="526"/>
              <w:contextualSpacing/>
              <w:jc w:val="both"/>
              <w:rPr>
                <w:rFonts w:ascii="標楷體" w:eastAsia="標楷體" w:hAnsi="標楷體" w:cs="Calibri"/>
                <w:color w:val="000000"/>
                <w:sz w:val="24"/>
              </w:rPr>
            </w:pPr>
            <w:proofErr w:type="spellStart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本要點經教務會議通過後實施</w:t>
            </w:r>
            <w:proofErr w:type="spellEnd"/>
            <w:r w:rsidRPr="001B0A3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886" w:type="pct"/>
            <w:shd w:val="clear" w:color="auto" w:fill="auto"/>
          </w:tcPr>
          <w:p w:rsidR="00D33605" w:rsidRPr="001B0A33" w:rsidRDefault="00D33605" w:rsidP="0018175B">
            <w:pPr>
              <w:rPr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</w:tbl>
    <w:p w:rsidR="005E00B2" w:rsidRPr="00D33605" w:rsidRDefault="005E00B2">
      <w:pPr>
        <w:rPr>
          <w:lang w:val="x-none"/>
        </w:rPr>
      </w:pPr>
      <w:bookmarkStart w:id="0" w:name="_GoBack"/>
      <w:bookmarkEnd w:id="0"/>
    </w:p>
    <w:sectPr w:rsidR="005E00B2" w:rsidRPr="00D33605" w:rsidSect="00D336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0FE"/>
    <w:multiLevelType w:val="hybridMultilevel"/>
    <w:tmpl w:val="405C72F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32C157D"/>
    <w:multiLevelType w:val="hybridMultilevel"/>
    <w:tmpl w:val="6420C01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4E2626B"/>
    <w:multiLevelType w:val="hybridMultilevel"/>
    <w:tmpl w:val="EF565CEE"/>
    <w:lvl w:ilvl="0" w:tplc="ED60344A">
      <w:start w:val="3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572CD1"/>
    <w:multiLevelType w:val="hybridMultilevel"/>
    <w:tmpl w:val="EF38BDEE"/>
    <w:lvl w:ilvl="0" w:tplc="C3CCE038">
      <w:start w:val="1"/>
      <w:numFmt w:val="taiwaneseCountingThousand"/>
      <w:lvlText w:val="(%1)"/>
      <w:lvlJc w:val="left"/>
      <w:pPr>
        <w:ind w:left="10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4">
    <w:nsid w:val="7D197108"/>
    <w:multiLevelType w:val="hybridMultilevel"/>
    <w:tmpl w:val="EF38BDEE"/>
    <w:lvl w:ilvl="0" w:tplc="C3CCE038">
      <w:start w:val="1"/>
      <w:numFmt w:val="taiwaneseCountingThousand"/>
      <w:lvlText w:val="(%1)"/>
      <w:lvlJc w:val="left"/>
      <w:pPr>
        <w:ind w:left="10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5">
    <w:nsid w:val="7E81776A"/>
    <w:multiLevelType w:val="hybridMultilevel"/>
    <w:tmpl w:val="600068F8"/>
    <w:lvl w:ilvl="0" w:tplc="C3CCE038">
      <w:start w:val="1"/>
      <w:numFmt w:val="taiwaneseCountingThousand"/>
      <w:lvlText w:val="(%1)"/>
      <w:lvlJc w:val="left"/>
      <w:pPr>
        <w:ind w:left="28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16" w:hanging="480"/>
      </w:pPr>
    </w:lvl>
    <w:lvl w:ilvl="2" w:tplc="0409001B" w:tentative="1">
      <w:start w:val="1"/>
      <w:numFmt w:val="lowerRoman"/>
      <w:lvlText w:val="%3."/>
      <w:lvlJc w:val="right"/>
      <w:pPr>
        <w:ind w:left="3796" w:hanging="480"/>
      </w:pPr>
    </w:lvl>
    <w:lvl w:ilvl="3" w:tplc="0409000F" w:tentative="1">
      <w:start w:val="1"/>
      <w:numFmt w:val="decimal"/>
      <w:lvlText w:val="%4."/>
      <w:lvlJc w:val="left"/>
      <w:pPr>
        <w:ind w:left="4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56" w:hanging="480"/>
      </w:pPr>
    </w:lvl>
    <w:lvl w:ilvl="5" w:tplc="0409001B" w:tentative="1">
      <w:start w:val="1"/>
      <w:numFmt w:val="lowerRoman"/>
      <w:lvlText w:val="%6."/>
      <w:lvlJc w:val="right"/>
      <w:pPr>
        <w:ind w:left="5236" w:hanging="480"/>
      </w:pPr>
    </w:lvl>
    <w:lvl w:ilvl="6" w:tplc="0409000F" w:tentative="1">
      <w:start w:val="1"/>
      <w:numFmt w:val="decimal"/>
      <w:lvlText w:val="%7."/>
      <w:lvlJc w:val="left"/>
      <w:pPr>
        <w:ind w:left="5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96" w:hanging="480"/>
      </w:pPr>
    </w:lvl>
    <w:lvl w:ilvl="8" w:tplc="0409001B" w:tentative="1">
      <w:start w:val="1"/>
      <w:numFmt w:val="lowerRoman"/>
      <w:lvlText w:val="%9."/>
      <w:lvlJc w:val="right"/>
      <w:pPr>
        <w:ind w:left="6676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05"/>
    <w:rsid w:val="005E00B2"/>
    <w:rsid w:val="00D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3605"/>
    <w:pPr>
      <w:widowControl/>
      <w:ind w:leftChars="200" w:left="480"/>
    </w:pPr>
    <w:rPr>
      <w:rFonts w:ascii="新細明體" w:hAnsi="新細明體"/>
      <w:kern w:val="0"/>
      <w:sz w:val="20"/>
      <w:lang w:val="x-none" w:eastAsia="x-none"/>
    </w:rPr>
  </w:style>
  <w:style w:type="character" w:customStyle="1" w:styleId="a4">
    <w:name w:val="清單段落 字元"/>
    <w:link w:val="a3"/>
    <w:uiPriority w:val="34"/>
    <w:rsid w:val="00D33605"/>
    <w:rPr>
      <w:rFonts w:ascii="新細明體" w:eastAsia="新細明體" w:hAnsi="新細明體" w:cs="Times New Roman"/>
      <w:kern w:val="0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3605"/>
    <w:pPr>
      <w:widowControl/>
      <w:ind w:leftChars="200" w:left="480"/>
    </w:pPr>
    <w:rPr>
      <w:rFonts w:ascii="新細明體" w:hAnsi="新細明體"/>
      <w:kern w:val="0"/>
      <w:sz w:val="20"/>
      <w:lang w:val="x-none" w:eastAsia="x-none"/>
    </w:rPr>
  </w:style>
  <w:style w:type="character" w:customStyle="1" w:styleId="a4">
    <w:name w:val="清單段落 字元"/>
    <w:link w:val="a3"/>
    <w:uiPriority w:val="34"/>
    <w:rsid w:val="00D33605"/>
    <w:rPr>
      <w:rFonts w:ascii="新細明體" w:eastAsia="新細明體" w:hAnsi="新細明體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Kmu-User</cp:lastModifiedBy>
  <cp:revision>1</cp:revision>
  <dcterms:created xsi:type="dcterms:W3CDTF">2018-12-24T03:01:00Z</dcterms:created>
  <dcterms:modified xsi:type="dcterms:W3CDTF">2018-12-24T03:02:00Z</dcterms:modified>
</cp:coreProperties>
</file>